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1B5" w14:textId="77777777" w:rsidR="007F6105" w:rsidRPr="007F6105" w:rsidRDefault="007F6105" w:rsidP="007F6105">
      <w:pPr>
        <w:pStyle w:val="Ttulo9"/>
        <w:tabs>
          <w:tab w:val="center" w:pos="4252"/>
        </w:tabs>
        <w:jc w:val="both"/>
        <w:rPr>
          <w:rFonts w:eastAsia="Calibri"/>
          <w:sz w:val="18"/>
          <w:szCs w:val="18"/>
        </w:rPr>
      </w:pPr>
      <w:r>
        <w:rPr>
          <w:rFonts w:eastAsia="Calibri"/>
          <w:sz w:val="40"/>
          <w:szCs w:val="40"/>
        </w:rPr>
        <w:tab/>
      </w:r>
    </w:p>
    <w:p w14:paraId="5B6D4BBF" w14:textId="64C1F304" w:rsidR="009E0F51" w:rsidRPr="007F6105" w:rsidRDefault="003D2913" w:rsidP="007F6105">
      <w:pPr>
        <w:pStyle w:val="Ttulo9"/>
        <w:tabs>
          <w:tab w:val="center" w:pos="4252"/>
        </w:tabs>
        <w:rPr>
          <w:rFonts w:eastAsia="Calibri"/>
          <w:sz w:val="44"/>
          <w:szCs w:val="44"/>
        </w:rPr>
      </w:pPr>
      <w:r w:rsidRPr="007F6105">
        <w:rPr>
          <w:rFonts w:eastAsia="Calibri"/>
          <w:sz w:val="44"/>
          <w:szCs w:val="44"/>
        </w:rPr>
        <w:t>PROJETO DE LEI Nº ____/202</w:t>
      </w:r>
      <w:r w:rsidR="009E0F51" w:rsidRPr="007F6105">
        <w:rPr>
          <w:rFonts w:eastAsia="Calibri"/>
          <w:sz w:val="44"/>
          <w:szCs w:val="44"/>
        </w:rPr>
        <w:t>1</w:t>
      </w:r>
    </w:p>
    <w:p w14:paraId="66B1B549" w14:textId="77777777" w:rsidR="009E0F51" w:rsidRDefault="009E0F51" w:rsidP="003D2913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5D725119" w14:textId="77777777" w:rsidR="009E0F51" w:rsidRDefault="009E0F51" w:rsidP="003D2913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1E8E1D4F" w14:textId="43337D49" w:rsidR="003D2913" w:rsidRDefault="003D2913" w:rsidP="003D2913">
      <w:pPr>
        <w:ind w:left="4820"/>
        <w:rPr>
          <w:rFonts w:cs="Arial"/>
          <w:b/>
          <w:bCs/>
          <w:i/>
          <w:iCs/>
          <w:sz w:val="20"/>
          <w:szCs w:val="20"/>
        </w:rPr>
      </w:pPr>
      <w:r w:rsidRPr="00B83C2B">
        <w:rPr>
          <w:rFonts w:cs="Arial"/>
          <w:b/>
          <w:bCs/>
          <w:i/>
          <w:iCs/>
          <w:sz w:val="20"/>
          <w:szCs w:val="20"/>
        </w:rPr>
        <w:t>“</w:t>
      </w:r>
      <w:r w:rsidR="009E0F51">
        <w:rPr>
          <w:rFonts w:cs="Arial"/>
          <w:b/>
          <w:bCs/>
          <w:i/>
          <w:iCs/>
          <w:sz w:val="20"/>
          <w:szCs w:val="20"/>
        </w:rPr>
        <w:t>Altera a Lei</w:t>
      </w:r>
      <w:r w:rsidR="009E0F51" w:rsidRPr="009E0F51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9E0F51">
        <w:rPr>
          <w:rFonts w:cs="Arial"/>
          <w:b/>
          <w:bCs/>
          <w:i/>
          <w:iCs/>
          <w:sz w:val="20"/>
          <w:szCs w:val="20"/>
        </w:rPr>
        <w:t xml:space="preserve">nº </w:t>
      </w:r>
      <w:r w:rsidR="009E0F51" w:rsidRPr="009E0F51">
        <w:rPr>
          <w:rFonts w:cs="Calibri"/>
          <w:b/>
          <w:bCs/>
          <w:i/>
          <w:iCs/>
          <w:sz w:val="20"/>
          <w:szCs w:val="20"/>
        </w:rPr>
        <w:t>2.845</w:t>
      </w:r>
      <w:r w:rsidR="009E0F51">
        <w:rPr>
          <w:rFonts w:cs="Calibri"/>
          <w:b/>
          <w:bCs/>
          <w:i/>
          <w:iCs/>
          <w:sz w:val="20"/>
          <w:szCs w:val="20"/>
        </w:rPr>
        <w:t>,</w:t>
      </w:r>
      <w:r w:rsidR="009E0F51" w:rsidRPr="009E0F51">
        <w:rPr>
          <w:rFonts w:cs="Calibri"/>
          <w:b/>
          <w:bCs/>
          <w:i/>
          <w:iCs/>
          <w:sz w:val="20"/>
          <w:szCs w:val="20"/>
        </w:rPr>
        <w:t xml:space="preserve"> de 30 de junho de 2021</w:t>
      </w:r>
      <w:r w:rsidR="009E0F51">
        <w:rPr>
          <w:rFonts w:cs="Calibri"/>
          <w:b/>
          <w:bCs/>
          <w:i/>
          <w:iCs/>
          <w:sz w:val="20"/>
          <w:szCs w:val="20"/>
        </w:rPr>
        <w:t>, que trata das Diretrizes Orçamentárias para 2022, e dá outras providências</w:t>
      </w:r>
      <w:r w:rsidRPr="00B83C2B">
        <w:rPr>
          <w:rFonts w:cs="Arial"/>
          <w:b/>
          <w:bCs/>
          <w:i/>
          <w:iCs/>
          <w:sz w:val="20"/>
          <w:szCs w:val="20"/>
        </w:rPr>
        <w:t>”.</w:t>
      </w:r>
    </w:p>
    <w:p w14:paraId="4D072575" w14:textId="77777777" w:rsidR="003D2913" w:rsidRPr="00B83C2B" w:rsidRDefault="003D2913" w:rsidP="003D2913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2634D777" w14:textId="77777777" w:rsidR="003D2913" w:rsidRDefault="003D2913" w:rsidP="003D2913">
      <w:pPr>
        <w:ind w:firstLine="851"/>
        <w:rPr>
          <w:sz w:val="22"/>
        </w:rPr>
      </w:pPr>
    </w:p>
    <w:p w14:paraId="2AE2D9F3" w14:textId="19D354F9" w:rsidR="003D2913" w:rsidRPr="007079D8" w:rsidRDefault="003D2913" w:rsidP="005C3FA8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b w:val="0"/>
          <w:bCs w:val="0"/>
          <w:i/>
          <w:iCs/>
          <w:szCs w:val="24"/>
        </w:rPr>
      </w:pPr>
      <w:r>
        <w:rPr>
          <w:rFonts w:ascii="Arial" w:hAnsi="Arial" w:cs="Arial"/>
          <w:i/>
          <w:iCs/>
        </w:rPr>
        <w:tab/>
      </w:r>
      <w:r w:rsidRPr="00B83C2B">
        <w:rPr>
          <w:rFonts w:cs="Arial"/>
          <w:b w:val="0"/>
          <w:bCs w:val="0"/>
          <w:i/>
          <w:iCs/>
          <w:szCs w:val="24"/>
        </w:rPr>
        <w:t>O Prefeito do Município de Carmo do Cajuru, Estado de Minas Gerais, no uso de suas atribuições legais, consoante disposto no inciso IV do art.65 da Lei Orgânica Municipal, apresenta o seguinte Projeto de Lei:</w:t>
      </w:r>
    </w:p>
    <w:p w14:paraId="5458B683" w14:textId="77777777" w:rsidR="003D2913" w:rsidRDefault="003D2913"/>
    <w:p w14:paraId="77F92EB0" w14:textId="22829745" w:rsidR="003D2913" w:rsidRPr="005C3FA8" w:rsidRDefault="003D2913" w:rsidP="005C3FA8">
      <w:pPr>
        <w:spacing w:line="360" w:lineRule="auto"/>
        <w:ind w:firstLine="708"/>
        <w:rPr>
          <w:szCs w:val="24"/>
        </w:rPr>
      </w:pPr>
      <w:r w:rsidRPr="005C3FA8">
        <w:rPr>
          <w:b/>
          <w:bCs/>
          <w:szCs w:val="24"/>
        </w:rPr>
        <w:t>Art. 1°.</w:t>
      </w:r>
      <w:r w:rsidRPr="005C3FA8">
        <w:rPr>
          <w:szCs w:val="24"/>
        </w:rPr>
        <w:t xml:space="preserve"> </w:t>
      </w:r>
      <w:r w:rsidR="009E0F51">
        <w:rPr>
          <w:szCs w:val="24"/>
        </w:rPr>
        <w:t xml:space="preserve">Esta lei apresenta os anexos de que trata o artigo 56 da Lei </w:t>
      </w:r>
      <w:r w:rsidR="009E0F51" w:rsidRPr="004D4F1A">
        <w:rPr>
          <w:rFonts w:cs="Calibri"/>
        </w:rPr>
        <w:t xml:space="preserve">n° </w:t>
      </w:r>
      <w:r w:rsidR="009E0F51">
        <w:rPr>
          <w:rFonts w:cs="Calibri"/>
        </w:rPr>
        <w:t xml:space="preserve">2.845, </w:t>
      </w:r>
      <w:r w:rsidR="009E0F51" w:rsidRPr="004D4F1A">
        <w:rPr>
          <w:rFonts w:cs="Calibri"/>
        </w:rPr>
        <w:t xml:space="preserve">de </w:t>
      </w:r>
      <w:r w:rsidR="009E0F51">
        <w:rPr>
          <w:rFonts w:cs="Calibri"/>
        </w:rPr>
        <w:t>30</w:t>
      </w:r>
      <w:r w:rsidR="009E0F51" w:rsidRPr="004D4F1A">
        <w:rPr>
          <w:rFonts w:cs="Calibri"/>
        </w:rPr>
        <w:t xml:space="preserve"> d</w:t>
      </w:r>
      <w:r w:rsidR="009E0F51">
        <w:rPr>
          <w:rFonts w:cs="Calibri"/>
        </w:rPr>
        <w:t>e junho</w:t>
      </w:r>
      <w:r w:rsidR="009E0F51" w:rsidRPr="004D4F1A">
        <w:rPr>
          <w:rFonts w:cs="Calibri"/>
        </w:rPr>
        <w:t xml:space="preserve"> d</w:t>
      </w:r>
      <w:r w:rsidR="009E0F51">
        <w:rPr>
          <w:rFonts w:cs="Calibri"/>
        </w:rPr>
        <w:t>e</w:t>
      </w:r>
      <w:r w:rsidR="009E0F51" w:rsidRPr="004D4F1A">
        <w:rPr>
          <w:rFonts w:cs="Calibri"/>
        </w:rPr>
        <w:t xml:space="preserve"> 2021</w:t>
      </w:r>
      <w:r w:rsidR="009E0F51">
        <w:rPr>
          <w:rFonts w:cs="Calibri"/>
        </w:rPr>
        <w:t xml:space="preserve">, e </w:t>
      </w:r>
      <w:r w:rsidR="009E0F51">
        <w:rPr>
          <w:szCs w:val="24"/>
        </w:rPr>
        <w:t>altera os anexos de que trata o artigo 55 da mesma lei, promovendo a compatibilização do planejamento do Município de Carmo do Cajuru.</w:t>
      </w:r>
    </w:p>
    <w:p w14:paraId="4872807C" w14:textId="77777777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7B27064A" w14:textId="222A53F8" w:rsidR="007079D8" w:rsidRDefault="003D2913" w:rsidP="005C3FA8">
      <w:pPr>
        <w:spacing w:line="360" w:lineRule="auto"/>
        <w:ind w:firstLine="708"/>
        <w:rPr>
          <w:rFonts w:cs="Calibri"/>
        </w:rPr>
      </w:pPr>
      <w:r w:rsidRPr="005C3FA8">
        <w:rPr>
          <w:b/>
          <w:bCs/>
          <w:szCs w:val="24"/>
        </w:rPr>
        <w:t>Art. 2°.</w:t>
      </w:r>
      <w:r w:rsidRPr="005C3FA8">
        <w:rPr>
          <w:szCs w:val="24"/>
        </w:rPr>
        <w:t xml:space="preserve"> </w:t>
      </w:r>
      <w:r w:rsidR="009E0F51">
        <w:rPr>
          <w:szCs w:val="24"/>
        </w:rPr>
        <w:t xml:space="preserve">Ficam alterados os anexos a que refere o artigo 55 da Lei </w:t>
      </w:r>
      <w:r w:rsidR="009E0F51" w:rsidRPr="004D4F1A">
        <w:rPr>
          <w:rFonts w:cs="Calibri"/>
        </w:rPr>
        <w:t xml:space="preserve">n° </w:t>
      </w:r>
      <w:r w:rsidR="009E0F51">
        <w:rPr>
          <w:rFonts w:cs="Calibri"/>
        </w:rPr>
        <w:t xml:space="preserve">2.845, </w:t>
      </w:r>
      <w:r w:rsidR="009E0F51" w:rsidRPr="004D4F1A">
        <w:rPr>
          <w:rFonts w:cs="Calibri"/>
        </w:rPr>
        <w:t xml:space="preserve">de </w:t>
      </w:r>
      <w:r w:rsidR="009E0F51">
        <w:rPr>
          <w:rFonts w:cs="Calibri"/>
        </w:rPr>
        <w:t>30</w:t>
      </w:r>
      <w:r w:rsidR="009E0F51" w:rsidRPr="004D4F1A">
        <w:rPr>
          <w:rFonts w:cs="Calibri"/>
        </w:rPr>
        <w:t xml:space="preserve"> d</w:t>
      </w:r>
      <w:r w:rsidR="009E0F51">
        <w:rPr>
          <w:rFonts w:cs="Calibri"/>
        </w:rPr>
        <w:t>e junho</w:t>
      </w:r>
      <w:r w:rsidR="009E0F51" w:rsidRPr="004D4F1A">
        <w:rPr>
          <w:rFonts w:cs="Calibri"/>
        </w:rPr>
        <w:t xml:space="preserve"> d</w:t>
      </w:r>
      <w:r w:rsidR="009E0F51">
        <w:rPr>
          <w:rFonts w:cs="Calibri"/>
        </w:rPr>
        <w:t>e</w:t>
      </w:r>
      <w:r w:rsidR="009E0F51" w:rsidRPr="004D4F1A">
        <w:rPr>
          <w:rFonts w:cs="Calibri"/>
        </w:rPr>
        <w:t xml:space="preserve"> 2021</w:t>
      </w:r>
      <w:r w:rsidR="009E0F51">
        <w:rPr>
          <w:rFonts w:cs="Calibri"/>
        </w:rPr>
        <w:t>, pelos seguintes anexos desta Lei:</w:t>
      </w:r>
    </w:p>
    <w:p w14:paraId="4CE41C3F" w14:textId="77777777" w:rsidR="009E0F51" w:rsidRDefault="009E0F51" w:rsidP="005C3FA8">
      <w:pPr>
        <w:spacing w:line="360" w:lineRule="auto"/>
        <w:ind w:firstLine="708"/>
        <w:rPr>
          <w:rFonts w:cs="Calibri"/>
        </w:rPr>
      </w:pPr>
    </w:p>
    <w:p w14:paraId="1AE39FCC" w14:textId="77777777" w:rsidR="009E0F51" w:rsidRDefault="009E0F51" w:rsidP="009E0F51">
      <w:pPr>
        <w:spacing w:line="360" w:lineRule="auto"/>
        <w:ind w:firstLine="1134"/>
      </w:pPr>
      <w:r w:rsidRPr="009E0F51">
        <w:rPr>
          <w:b/>
          <w:bCs/>
        </w:rPr>
        <w:t>I -</w:t>
      </w:r>
      <w:r>
        <w:t xml:space="preserve"> Demonstrativo da Evolução da Despesa;</w:t>
      </w:r>
    </w:p>
    <w:p w14:paraId="29760FEE" w14:textId="77777777" w:rsidR="009E0F51" w:rsidRDefault="009E0F51" w:rsidP="009E0F51">
      <w:pPr>
        <w:spacing w:line="360" w:lineRule="auto"/>
        <w:ind w:firstLine="1134"/>
      </w:pPr>
    </w:p>
    <w:p w14:paraId="314DE77E" w14:textId="77777777" w:rsidR="009E0F51" w:rsidRDefault="009E0F51" w:rsidP="009E0F51">
      <w:pPr>
        <w:spacing w:line="360" w:lineRule="auto"/>
        <w:ind w:firstLine="1134"/>
      </w:pPr>
      <w:r w:rsidRPr="009E0F51">
        <w:rPr>
          <w:b/>
          <w:bCs/>
        </w:rPr>
        <w:t>II –</w:t>
      </w:r>
      <w:r>
        <w:t xml:space="preserve"> Demonstrativo da Evolução da Receita;</w:t>
      </w:r>
    </w:p>
    <w:p w14:paraId="14B691EF" w14:textId="77777777" w:rsidR="009E0F51" w:rsidRDefault="009E0F51" w:rsidP="009E0F51">
      <w:pPr>
        <w:pStyle w:val="Recuodecorpodetexto"/>
        <w:spacing w:line="360" w:lineRule="auto"/>
      </w:pPr>
    </w:p>
    <w:p w14:paraId="3B094A67" w14:textId="77777777" w:rsidR="009E0F51" w:rsidRDefault="009E0F51" w:rsidP="009E0F51">
      <w:pPr>
        <w:spacing w:line="360" w:lineRule="auto"/>
        <w:ind w:firstLine="1134"/>
      </w:pPr>
      <w:r w:rsidRPr="009E0F51">
        <w:rPr>
          <w:b/>
          <w:bCs/>
        </w:rPr>
        <w:t>III –</w:t>
      </w:r>
      <w:r>
        <w:t xml:space="preserve"> Metas Anuais; </w:t>
      </w:r>
    </w:p>
    <w:p w14:paraId="6E781D51" w14:textId="77777777" w:rsidR="009E0F51" w:rsidRDefault="009E0F51" w:rsidP="009E0F51">
      <w:pPr>
        <w:spacing w:line="360" w:lineRule="auto"/>
      </w:pPr>
    </w:p>
    <w:p w14:paraId="1109ACB5" w14:textId="77777777" w:rsidR="009E0F51" w:rsidRDefault="009E0F51" w:rsidP="009E0F51">
      <w:pPr>
        <w:spacing w:line="360" w:lineRule="auto"/>
        <w:ind w:left="709" w:firstLine="425"/>
      </w:pPr>
      <w:r w:rsidRPr="009E0F51">
        <w:rPr>
          <w:b/>
          <w:bCs/>
        </w:rPr>
        <w:t>IV -</w:t>
      </w:r>
      <w:r>
        <w:t xml:space="preserve"> Metodologia e Memória de Cálculo das Metas Anuais para o Resultado Nominal;</w:t>
      </w:r>
    </w:p>
    <w:p w14:paraId="3B334E08" w14:textId="77777777" w:rsidR="009E0F51" w:rsidRDefault="009E0F51" w:rsidP="009E0F51">
      <w:pPr>
        <w:spacing w:line="360" w:lineRule="auto"/>
      </w:pPr>
    </w:p>
    <w:p w14:paraId="3A455E2D" w14:textId="77777777" w:rsidR="009E0F51" w:rsidRDefault="009E0F51" w:rsidP="009E0F51">
      <w:pPr>
        <w:spacing w:line="360" w:lineRule="auto"/>
        <w:ind w:firstLine="1134"/>
      </w:pPr>
      <w:r w:rsidRPr="009E0F51">
        <w:rPr>
          <w:b/>
          <w:bCs/>
        </w:rPr>
        <w:lastRenderedPageBreak/>
        <w:t>V –</w:t>
      </w:r>
      <w:r>
        <w:t xml:space="preserve"> Avaliação do Cumprimento das Metas Fiscais do Exercício Anterior;</w:t>
      </w:r>
    </w:p>
    <w:p w14:paraId="123AB2F3" w14:textId="77777777" w:rsidR="009E0F51" w:rsidRDefault="009E0F51" w:rsidP="009E0F51">
      <w:pPr>
        <w:spacing w:line="360" w:lineRule="auto"/>
        <w:ind w:firstLine="1134"/>
      </w:pPr>
    </w:p>
    <w:p w14:paraId="70EFDC81" w14:textId="77777777" w:rsidR="009E0F51" w:rsidRDefault="009E0F51" w:rsidP="009E0F51">
      <w:pPr>
        <w:spacing w:line="360" w:lineRule="auto"/>
        <w:ind w:left="709" w:firstLine="425"/>
      </w:pPr>
      <w:r w:rsidRPr="009E0F51">
        <w:rPr>
          <w:b/>
          <w:bCs/>
        </w:rPr>
        <w:t>VI –</w:t>
      </w:r>
      <w:r>
        <w:t xml:space="preserve"> Demonstrativo das Metas Fiscais Atuais Comparadas com as Fixadas nos Três Exercícios Anteriores;</w:t>
      </w:r>
    </w:p>
    <w:p w14:paraId="3CEB44F6" w14:textId="77777777" w:rsidR="009E0F51" w:rsidRDefault="009E0F51" w:rsidP="009E0F51">
      <w:pPr>
        <w:spacing w:line="360" w:lineRule="auto"/>
        <w:ind w:left="709" w:firstLine="425"/>
      </w:pPr>
    </w:p>
    <w:p w14:paraId="28C17433" w14:textId="77777777" w:rsidR="009E0F51" w:rsidRDefault="009E0F51" w:rsidP="009E0F51">
      <w:pPr>
        <w:spacing w:line="360" w:lineRule="auto"/>
        <w:ind w:firstLine="1134"/>
      </w:pPr>
      <w:r w:rsidRPr="009E0F51">
        <w:rPr>
          <w:b/>
          <w:bCs/>
        </w:rPr>
        <w:t>VII –</w:t>
      </w:r>
      <w:r>
        <w:t xml:space="preserve"> Evolução do Patrimônio Líquido;</w:t>
      </w:r>
    </w:p>
    <w:p w14:paraId="20939269" w14:textId="77777777" w:rsidR="009E0F51" w:rsidRDefault="009E0F51" w:rsidP="009E0F51">
      <w:pPr>
        <w:spacing w:line="360" w:lineRule="auto"/>
        <w:ind w:firstLine="1134"/>
      </w:pPr>
    </w:p>
    <w:p w14:paraId="52D8A17D" w14:textId="58647D5E" w:rsidR="003D2913" w:rsidRDefault="009E0F51" w:rsidP="009E0F51">
      <w:pPr>
        <w:spacing w:line="360" w:lineRule="auto"/>
        <w:ind w:firstLine="1134"/>
        <w:rPr>
          <w:szCs w:val="24"/>
        </w:rPr>
      </w:pPr>
      <w:r w:rsidRPr="009E0F51">
        <w:rPr>
          <w:b/>
          <w:bCs/>
        </w:rPr>
        <w:t>VIII –</w:t>
      </w:r>
      <w:r>
        <w:t xml:space="preserve"> Demonstrativo de origem e Aplicação dos Recursos Obtidos com a Alienação de Ativos;</w:t>
      </w:r>
    </w:p>
    <w:p w14:paraId="6519842E" w14:textId="77777777" w:rsidR="009E0F51" w:rsidRPr="005C3FA8" w:rsidRDefault="009E0F51" w:rsidP="005C3FA8">
      <w:pPr>
        <w:spacing w:line="360" w:lineRule="auto"/>
        <w:ind w:firstLine="708"/>
        <w:rPr>
          <w:szCs w:val="24"/>
        </w:rPr>
      </w:pPr>
    </w:p>
    <w:p w14:paraId="7D7137A7" w14:textId="1F021C07" w:rsidR="005B42C7" w:rsidRDefault="003D2913" w:rsidP="005C3FA8">
      <w:pPr>
        <w:spacing w:line="360" w:lineRule="auto"/>
        <w:ind w:firstLine="708"/>
        <w:rPr>
          <w:rFonts w:cs="Calibri"/>
        </w:rPr>
      </w:pPr>
      <w:r w:rsidRPr="005C3FA8">
        <w:rPr>
          <w:b/>
          <w:bCs/>
          <w:szCs w:val="24"/>
        </w:rPr>
        <w:t>Art. 3º.</w:t>
      </w:r>
      <w:r w:rsidR="005B42C7">
        <w:rPr>
          <w:b/>
          <w:bCs/>
          <w:szCs w:val="24"/>
        </w:rPr>
        <w:t xml:space="preserve"> </w:t>
      </w:r>
      <w:r w:rsidR="009E0F51">
        <w:rPr>
          <w:szCs w:val="24"/>
        </w:rPr>
        <w:t>Passam a integrar a Lei n</w:t>
      </w:r>
      <w:r w:rsidR="009E0F51">
        <w:rPr>
          <w:sz w:val="26"/>
          <w:szCs w:val="26"/>
        </w:rPr>
        <w:t xml:space="preserve">º </w:t>
      </w:r>
      <w:r w:rsidR="009E0F51">
        <w:rPr>
          <w:rFonts w:cs="Calibri"/>
        </w:rPr>
        <w:t xml:space="preserve">2.845, </w:t>
      </w:r>
      <w:r w:rsidR="009E0F51" w:rsidRPr="004D4F1A">
        <w:rPr>
          <w:rFonts w:cs="Calibri"/>
        </w:rPr>
        <w:t xml:space="preserve">de </w:t>
      </w:r>
      <w:r w:rsidR="009E0F51">
        <w:rPr>
          <w:rFonts w:cs="Calibri"/>
        </w:rPr>
        <w:t>30</w:t>
      </w:r>
      <w:r w:rsidR="009E0F51" w:rsidRPr="004D4F1A">
        <w:rPr>
          <w:rFonts w:cs="Calibri"/>
        </w:rPr>
        <w:t xml:space="preserve"> d</w:t>
      </w:r>
      <w:r w:rsidR="009E0F51">
        <w:rPr>
          <w:rFonts w:cs="Calibri"/>
        </w:rPr>
        <w:t>e junho</w:t>
      </w:r>
      <w:r w:rsidR="009E0F51" w:rsidRPr="004D4F1A">
        <w:rPr>
          <w:rFonts w:cs="Calibri"/>
        </w:rPr>
        <w:t xml:space="preserve"> d</w:t>
      </w:r>
      <w:r w:rsidR="009E0F51">
        <w:rPr>
          <w:rFonts w:cs="Calibri"/>
        </w:rPr>
        <w:t>e</w:t>
      </w:r>
      <w:r w:rsidR="009E0F51" w:rsidRPr="004D4F1A">
        <w:rPr>
          <w:rFonts w:cs="Calibri"/>
        </w:rPr>
        <w:t xml:space="preserve"> 2021</w:t>
      </w:r>
      <w:r w:rsidR="009E0F51">
        <w:rPr>
          <w:rFonts w:cs="Calibri"/>
        </w:rPr>
        <w:t xml:space="preserve">, </w:t>
      </w:r>
      <w:r w:rsidR="007F6105">
        <w:rPr>
          <w:rFonts w:cs="Calibri"/>
        </w:rPr>
        <w:t xml:space="preserve">conforme </w:t>
      </w:r>
      <w:r w:rsidR="00876BC9">
        <w:rPr>
          <w:rFonts w:cs="Calibri"/>
        </w:rPr>
        <w:t>previsto no artigo 56</w:t>
      </w:r>
      <w:r w:rsidR="007F6105">
        <w:rPr>
          <w:rFonts w:cs="Calibri"/>
        </w:rPr>
        <w:t>, o</w:t>
      </w:r>
      <w:r w:rsidR="007F6105">
        <w:rPr>
          <w:rFonts w:cs="Calibri"/>
        </w:rPr>
        <w:t>s seguintes anexos desta Lei</w:t>
      </w:r>
      <w:r w:rsidR="009E0F51">
        <w:rPr>
          <w:rFonts w:cs="Calibri"/>
        </w:rPr>
        <w:t>:</w:t>
      </w:r>
    </w:p>
    <w:p w14:paraId="08430ABE" w14:textId="0EFFC656" w:rsidR="009E0F51" w:rsidRDefault="009E0F51" w:rsidP="005C3FA8">
      <w:pPr>
        <w:spacing w:line="360" w:lineRule="auto"/>
        <w:ind w:firstLine="708"/>
        <w:rPr>
          <w:rFonts w:cs="Calibri"/>
        </w:rPr>
      </w:pPr>
    </w:p>
    <w:p w14:paraId="4DF84BBE" w14:textId="77777777" w:rsidR="00C52349" w:rsidRDefault="00C52349" w:rsidP="00C52349">
      <w:pPr>
        <w:tabs>
          <w:tab w:val="left" w:pos="1134"/>
        </w:tabs>
        <w:spacing w:line="360" w:lineRule="auto"/>
        <w:ind w:left="709" w:firstLine="425"/>
      </w:pPr>
      <w:r w:rsidRPr="00C52349">
        <w:rPr>
          <w:b/>
          <w:bCs/>
        </w:rPr>
        <w:t>I</w:t>
      </w:r>
      <w:r>
        <w:t xml:space="preserve"> - Demonstrativo da Despesa por Funções, Subfunções e Programas conforme o Vínculo com os Recursos;</w:t>
      </w:r>
    </w:p>
    <w:p w14:paraId="497E9E4D" w14:textId="77777777" w:rsidR="00C52349" w:rsidRDefault="00C52349" w:rsidP="00C52349">
      <w:pPr>
        <w:tabs>
          <w:tab w:val="left" w:pos="1134"/>
        </w:tabs>
        <w:spacing w:line="360" w:lineRule="auto"/>
        <w:ind w:left="709" w:firstLine="425"/>
      </w:pPr>
    </w:p>
    <w:p w14:paraId="198BC77E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t>II</w:t>
      </w:r>
      <w:r>
        <w:t xml:space="preserve"> – Demonstrativo da Despesa por Órgãos e Funções;</w:t>
      </w:r>
    </w:p>
    <w:p w14:paraId="2270E63F" w14:textId="77777777" w:rsidR="00C52349" w:rsidRDefault="00C52349" w:rsidP="00C52349">
      <w:pPr>
        <w:spacing w:line="360" w:lineRule="auto"/>
        <w:ind w:firstLine="1134"/>
      </w:pPr>
    </w:p>
    <w:p w14:paraId="603DBE93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t>III</w:t>
      </w:r>
      <w:r>
        <w:t xml:space="preserve"> - Demonstrativo da Receita e Despesa segundo as Categorias Econômicas;</w:t>
      </w:r>
    </w:p>
    <w:p w14:paraId="3BC4F661" w14:textId="77777777" w:rsidR="00C52349" w:rsidRDefault="00C52349" w:rsidP="00C52349">
      <w:pPr>
        <w:spacing w:line="360" w:lineRule="auto"/>
        <w:ind w:firstLine="1134"/>
      </w:pPr>
    </w:p>
    <w:p w14:paraId="0E2CAD13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t>IV</w:t>
      </w:r>
      <w:r>
        <w:t xml:space="preserve"> – Funções e Subfunções de Governo;</w:t>
      </w:r>
    </w:p>
    <w:p w14:paraId="62F87077" w14:textId="77777777" w:rsidR="00C52349" w:rsidRDefault="00C52349" w:rsidP="00C52349">
      <w:pPr>
        <w:spacing w:line="360" w:lineRule="auto"/>
        <w:ind w:firstLine="1134"/>
      </w:pPr>
    </w:p>
    <w:p w14:paraId="6FFF78C4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t>V</w:t>
      </w:r>
      <w:r>
        <w:t xml:space="preserve"> – Natureza da Despesa por Categorias Econômicas;</w:t>
      </w:r>
    </w:p>
    <w:p w14:paraId="36C8FADA" w14:textId="77777777" w:rsidR="00C52349" w:rsidRDefault="00C52349" w:rsidP="00C52349">
      <w:pPr>
        <w:spacing w:line="360" w:lineRule="auto"/>
        <w:ind w:firstLine="1134"/>
      </w:pPr>
    </w:p>
    <w:p w14:paraId="574C5C94" w14:textId="77777777" w:rsidR="00C52349" w:rsidRDefault="00C52349" w:rsidP="00C52349">
      <w:pPr>
        <w:spacing w:line="360" w:lineRule="auto"/>
        <w:ind w:left="709" w:firstLine="425"/>
      </w:pPr>
      <w:r w:rsidRPr="00C52349">
        <w:rPr>
          <w:b/>
          <w:bCs/>
        </w:rPr>
        <w:t>VI</w:t>
      </w:r>
      <w:r>
        <w:t xml:space="preserve"> – Programa de Trabalho de Governo – Demonstrativo de Funções, Subfunções e Programas, por Projetos, Atividades e Operações Especiais;</w:t>
      </w:r>
    </w:p>
    <w:p w14:paraId="27887C60" w14:textId="77777777" w:rsidR="00C52349" w:rsidRDefault="00C52349" w:rsidP="00C52349">
      <w:pPr>
        <w:spacing w:line="360" w:lineRule="auto"/>
        <w:ind w:left="709" w:firstLine="425"/>
      </w:pPr>
    </w:p>
    <w:p w14:paraId="3A1823DA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lastRenderedPageBreak/>
        <w:t>VII</w:t>
      </w:r>
      <w:r>
        <w:t xml:space="preserve"> – Programa de Trabalho de Governo;</w:t>
      </w:r>
    </w:p>
    <w:p w14:paraId="4B2425C8" w14:textId="77777777" w:rsidR="00C52349" w:rsidRDefault="00C52349" w:rsidP="00C52349">
      <w:pPr>
        <w:spacing w:line="360" w:lineRule="auto"/>
        <w:ind w:firstLine="1134"/>
      </w:pPr>
    </w:p>
    <w:p w14:paraId="44CA3D5A" w14:textId="77777777" w:rsidR="00C52349" w:rsidRPr="00C52349" w:rsidRDefault="00C52349" w:rsidP="00C52349">
      <w:pPr>
        <w:pStyle w:val="Recuodecorpodetexto"/>
        <w:spacing w:line="360" w:lineRule="auto"/>
        <w:ind w:left="0" w:firstLine="1134"/>
        <w:rPr>
          <w:b w:val="0"/>
          <w:bCs w:val="0"/>
        </w:rPr>
      </w:pPr>
      <w:r>
        <w:t xml:space="preserve">VIII – </w:t>
      </w:r>
      <w:r w:rsidRPr="00C52349">
        <w:rPr>
          <w:b w:val="0"/>
          <w:bCs w:val="0"/>
        </w:rPr>
        <w:t>Receita por Categoria Econômica;</w:t>
      </w:r>
    </w:p>
    <w:p w14:paraId="1DA07B6A" w14:textId="77777777" w:rsidR="00C52349" w:rsidRDefault="00C52349" w:rsidP="00C52349">
      <w:pPr>
        <w:pStyle w:val="Recuodecorpodetexto"/>
        <w:spacing w:line="360" w:lineRule="auto"/>
        <w:ind w:firstLine="1134"/>
      </w:pPr>
    </w:p>
    <w:p w14:paraId="30AB638E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t>IX</w:t>
      </w:r>
      <w:r>
        <w:t xml:space="preserve"> – Metodologia e Memória de Cálculo das Metas Anuais para as Receitas;</w:t>
      </w:r>
    </w:p>
    <w:p w14:paraId="3A171474" w14:textId="77777777" w:rsidR="00C52349" w:rsidRDefault="00C52349" w:rsidP="00C52349">
      <w:pPr>
        <w:spacing w:line="360" w:lineRule="auto"/>
        <w:ind w:firstLine="1134"/>
      </w:pPr>
    </w:p>
    <w:p w14:paraId="22788620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t>X</w:t>
      </w:r>
      <w:r>
        <w:t xml:space="preserve"> - Metodologia e Memória de Cálculo das Metas Anuais para as Despesas;</w:t>
      </w:r>
    </w:p>
    <w:p w14:paraId="04BE4741" w14:textId="77777777" w:rsidR="00C52349" w:rsidRDefault="00C52349" w:rsidP="00C52349">
      <w:pPr>
        <w:spacing w:line="360" w:lineRule="auto"/>
        <w:ind w:firstLine="1134"/>
      </w:pPr>
    </w:p>
    <w:p w14:paraId="12C042FC" w14:textId="77777777" w:rsidR="00C52349" w:rsidRDefault="00C52349" w:rsidP="00C52349">
      <w:pPr>
        <w:spacing w:line="360" w:lineRule="auto"/>
        <w:ind w:left="709" w:firstLine="425"/>
      </w:pPr>
      <w:r w:rsidRPr="00C52349">
        <w:rPr>
          <w:b/>
          <w:bCs/>
        </w:rPr>
        <w:t>XI</w:t>
      </w:r>
      <w:r>
        <w:t xml:space="preserve"> - Metodologia e Memória de Cálculo das Metas Anuais para o Resultado Primário;</w:t>
      </w:r>
    </w:p>
    <w:p w14:paraId="74D68420" w14:textId="77777777" w:rsidR="00C52349" w:rsidRDefault="00C52349" w:rsidP="00C52349">
      <w:pPr>
        <w:pStyle w:val="Recuodecorpodetexto"/>
        <w:spacing w:line="360" w:lineRule="auto"/>
        <w:ind w:firstLine="1134"/>
      </w:pPr>
    </w:p>
    <w:p w14:paraId="6497C3DF" w14:textId="77777777" w:rsidR="00C52349" w:rsidRDefault="00C52349" w:rsidP="00C52349">
      <w:pPr>
        <w:spacing w:line="360" w:lineRule="auto"/>
        <w:ind w:left="709" w:firstLine="425"/>
      </w:pPr>
      <w:r w:rsidRPr="00C52349">
        <w:rPr>
          <w:b/>
          <w:bCs/>
        </w:rPr>
        <w:t>XII</w:t>
      </w:r>
      <w:r>
        <w:t xml:space="preserve"> - Metodologia e Memória de Cálculo das Metas Anuais para o Montante da Dívida;</w:t>
      </w:r>
    </w:p>
    <w:p w14:paraId="2D4232C8" w14:textId="77777777" w:rsidR="00C52349" w:rsidRDefault="00C52349" w:rsidP="00C52349">
      <w:pPr>
        <w:spacing w:line="360" w:lineRule="auto"/>
        <w:ind w:left="709" w:firstLine="425"/>
      </w:pPr>
    </w:p>
    <w:p w14:paraId="5FA2E44B" w14:textId="77777777" w:rsidR="00C52349" w:rsidRDefault="00C52349" w:rsidP="00C52349">
      <w:pPr>
        <w:spacing w:line="360" w:lineRule="auto"/>
        <w:ind w:firstLine="1134"/>
      </w:pPr>
      <w:r w:rsidRPr="00C52349">
        <w:rPr>
          <w:b/>
          <w:bCs/>
        </w:rPr>
        <w:t>XIII</w:t>
      </w:r>
      <w:r>
        <w:t xml:space="preserve"> – Demonstrativo da Receita Corrente Líquida;</w:t>
      </w:r>
    </w:p>
    <w:p w14:paraId="071CEF96" w14:textId="77777777" w:rsidR="00C52349" w:rsidRDefault="00C52349" w:rsidP="00C52349">
      <w:pPr>
        <w:spacing w:line="360" w:lineRule="auto"/>
        <w:ind w:firstLine="1134"/>
      </w:pPr>
    </w:p>
    <w:p w14:paraId="7C1FF4E7" w14:textId="77777777" w:rsidR="00C52349" w:rsidRDefault="00C52349" w:rsidP="00C52349">
      <w:pPr>
        <w:spacing w:line="360" w:lineRule="auto"/>
        <w:ind w:left="709" w:firstLine="425"/>
      </w:pPr>
      <w:r w:rsidRPr="00C52349">
        <w:rPr>
          <w:b/>
          <w:bCs/>
        </w:rPr>
        <w:t>XIV</w:t>
      </w:r>
      <w:r>
        <w:t xml:space="preserve"> - Demonstrativo das Receitas e Prioridades das Despesas com Manutenção e Desenvolvimento do Ensino – MDE;</w:t>
      </w:r>
    </w:p>
    <w:p w14:paraId="71033096" w14:textId="77777777" w:rsidR="00C52349" w:rsidRDefault="00C52349" w:rsidP="00C52349">
      <w:pPr>
        <w:spacing w:line="360" w:lineRule="auto"/>
        <w:ind w:left="709" w:firstLine="425"/>
      </w:pPr>
    </w:p>
    <w:p w14:paraId="226BCF46" w14:textId="77777777" w:rsidR="00C52349" w:rsidRDefault="00C52349" w:rsidP="00C52349">
      <w:pPr>
        <w:spacing w:line="360" w:lineRule="auto"/>
        <w:ind w:left="709" w:firstLine="425"/>
      </w:pPr>
      <w:r w:rsidRPr="00C52349">
        <w:rPr>
          <w:b/>
          <w:bCs/>
        </w:rPr>
        <w:t>XV</w:t>
      </w:r>
      <w:r>
        <w:t xml:space="preserve"> – Demonstrativo da Receita de Impostos e das Prioridades das Despesas Próprias com Saúde;</w:t>
      </w:r>
    </w:p>
    <w:p w14:paraId="1CFB6FBF" w14:textId="77777777" w:rsidR="00C52349" w:rsidRDefault="00C52349" w:rsidP="00C52349">
      <w:pPr>
        <w:spacing w:line="360" w:lineRule="auto"/>
        <w:ind w:left="709" w:firstLine="425"/>
      </w:pPr>
    </w:p>
    <w:p w14:paraId="016D3BFB" w14:textId="3A3946A4" w:rsidR="00EA0430" w:rsidRDefault="00C52349" w:rsidP="00EA0430">
      <w:pPr>
        <w:spacing w:line="360" w:lineRule="auto"/>
        <w:ind w:left="709" w:firstLine="425"/>
      </w:pPr>
      <w:r w:rsidRPr="00C52349">
        <w:rPr>
          <w:b/>
          <w:bCs/>
        </w:rPr>
        <w:t>XVI</w:t>
      </w:r>
      <w:r>
        <w:t xml:space="preserve"> – Demonstrativo das Prioridades das Despesas com Pessoal – Poder Executivo e Legislativo;</w:t>
      </w:r>
    </w:p>
    <w:p w14:paraId="4257E528" w14:textId="77777777" w:rsidR="00EA0430" w:rsidRPr="00EA0430" w:rsidRDefault="00EA0430" w:rsidP="00EA0430">
      <w:pPr>
        <w:spacing w:line="360" w:lineRule="auto"/>
        <w:ind w:left="709" w:firstLine="425"/>
      </w:pPr>
    </w:p>
    <w:p w14:paraId="11392665" w14:textId="618E30A0" w:rsidR="00EA0430" w:rsidRDefault="005B42C7" w:rsidP="00EA0430">
      <w:pPr>
        <w:spacing w:line="360" w:lineRule="auto"/>
        <w:ind w:firstLine="708"/>
        <w:rPr>
          <w:rFonts w:cs="Calibri"/>
        </w:rPr>
      </w:pPr>
      <w:r w:rsidRPr="005B42C7">
        <w:rPr>
          <w:b/>
          <w:bCs/>
          <w:szCs w:val="24"/>
        </w:rPr>
        <w:t>Art. 4º.</w:t>
      </w:r>
      <w:r>
        <w:rPr>
          <w:szCs w:val="24"/>
        </w:rPr>
        <w:t xml:space="preserve"> </w:t>
      </w:r>
      <w:r w:rsidR="00EA0430">
        <w:rPr>
          <w:szCs w:val="24"/>
        </w:rPr>
        <w:t>Ficam substituídos pelos anexos desta Lei os anexos de que tratam o</w:t>
      </w:r>
      <w:r w:rsidR="00047FF0">
        <w:rPr>
          <w:szCs w:val="24"/>
        </w:rPr>
        <w:t>s incisos I e II do</w:t>
      </w:r>
      <w:r w:rsidR="00EA0430">
        <w:rPr>
          <w:szCs w:val="24"/>
        </w:rPr>
        <w:t xml:space="preserve"> §3º do artigo 2º da Lei nº </w:t>
      </w:r>
      <w:r w:rsidR="00EA0430">
        <w:rPr>
          <w:rFonts w:cs="Calibri"/>
        </w:rPr>
        <w:t xml:space="preserve">2.845, </w:t>
      </w:r>
      <w:r w:rsidR="00EA0430" w:rsidRPr="004D4F1A">
        <w:rPr>
          <w:rFonts w:cs="Calibri"/>
        </w:rPr>
        <w:t xml:space="preserve">de </w:t>
      </w:r>
      <w:r w:rsidR="00EA0430">
        <w:rPr>
          <w:rFonts w:cs="Calibri"/>
        </w:rPr>
        <w:t>30</w:t>
      </w:r>
      <w:r w:rsidR="00EA0430" w:rsidRPr="004D4F1A">
        <w:rPr>
          <w:rFonts w:cs="Calibri"/>
        </w:rPr>
        <w:t xml:space="preserve"> d</w:t>
      </w:r>
      <w:r w:rsidR="00EA0430">
        <w:rPr>
          <w:rFonts w:cs="Calibri"/>
        </w:rPr>
        <w:t>e junho</w:t>
      </w:r>
      <w:r w:rsidR="00EA0430" w:rsidRPr="004D4F1A">
        <w:rPr>
          <w:rFonts w:cs="Calibri"/>
        </w:rPr>
        <w:t xml:space="preserve"> d</w:t>
      </w:r>
      <w:r w:rsidR="00EA0430">
        <w:rPr>
          <w:rFonts w:cs="Calibri"/>
        </w:rPr>
        <w:t>e</w:t>
      </w:r>
      <w:r w:rsidR="00EA0430" w:rsidRPr="004D4F1A">
        <w:rPr>
          <w:rFonts w:cs="Calibri"/>
        </w:rPr>
        <w:t xml:space="preserve"> 2021</w:t>
      </w:r>
      <w:r w:rsidR="007F6105">
        <w:rPr>
          <w:rFonts w:cs="Calibri"/>
        </w:rPr>
        <w:t>:</w:t>
      </w:r>
    </w:p>
    <w:p w14:paraId="26EC44A4" w14:textId="0D6B24E2" w:rsidR="007F6105" w:rsidRDefault="007F6105" w:rsidP="007F6105">
      <w:pPr>
        <w:spacing w:line="360" w:lineRule="auto"/>
        <w:ind w:firstLine="1134"/>
        <w:rPr>
          <w:rFonts w:cs="Calibri"/>
        </w:rPr>
      </w:pPr>
      <w:r w:rsidRPr="007F6105">
        <w:rPr>
          <w:rFonts w:cs="Calibri"/>
          <w:b/>
          <w:bCs/>
        </w:rPr>
        <w:lastRenderedPageBreak/>
        <w:t>I</w:t>
      </w:r>
      <w:r>
        <w:rPr>
          <w:rFonts w:cs="Calibri"/>
        </w:rPr>
        <w:t xml:space="preserve"> – Metas Fiscais da Receita;</w:t>
      </w:r>
    </w:p>
    <w:p w14:paraId="6272A101" w14:textId="77777777" w:rsidR="007F6105" w:rsidRDefault="007F6105" w:rsidP="007F6105">
      <w:pPr>
        <w:spacing w:line="360" w:lineRule="auto"/>
        <w:ind w:firstLine="1134"/>
        <w:rPr>
          <w:rFonts w:cs="Calibri"/>
        </w:rPr>
      </w:pPr>
    </w:p>
    <w:p w14:paraId="5BDF5B2F" w14:textId="24AC9F61" w:rsidR="007F6105" w:rsidRDefault="007F6105" w:rsidP="007F6105">
      <w:pPr>
        <w:spacing w:line="360" w:lineRule="auto"/>
        <w:ind w:firstLine="1134"/>
        <w:rPr>
          <w:rFonts w:cs="Calibri"/>
        </w:rPr>
      </w:pPr>
      <w:r w:rsidRPr="007F6105">
        <w:rPr>
          <w:rFonts w:cs="Calibri"/>
          <w:b/>
          <w:bCs/>
        </w:rPr>
        <w:t>II</w:t>
      </w:r>
      <w:r>
        <w:rPr>
          <w:rFonts w:cs="Calibri"/>
        </w:rPr>
        <w:t xml:space="preserve"> – Riscos Fiscais.</w:t>
      </w:r>
    </w:p>
    <w:p w14:paraId="3652B47C" w14:textId="77777777" w:rsidR="00047FF0" w:rsidRDefault="00047FF0" w:rsidP="00EA0430">
      <w:pPr>
        <w:spacing w:line="360" w:lineRule="auto"/>
        <w:ind w:firstLine="708"/>
        <w:rPr>
          <w:szCs w:val="24"/>
        </w:rPr>
      </w:pPr>
    </w:p>
    <w:p w14:paraId="2157914E" w14:textId="6616D17D" w:rsidR="00C266A0" w:rsidRDefault="00EA0430" w:rsidP="005C3FA8">
      <w:pPr>
        <w:spacing w:line="360" w:lineRule="auto"/>
        <w:ind w:firstLine="708"/>
        <w:rPr>
          <w:szCs w:val="24"/>
        </w:rPr>
      </w:pPr>
      <w:r w:rsidRPr="00EA0430">
        <w:rPr>
          <w:b/>
          <w:bCs/>
          <w:szCs w:val="24"/>
        </w:rPr>
        <w:t>Art. 5º.</w:t>
      </w:r>
      <w:r>
        <w:rPr>
          <w:szCs w:val="24"/>
        </w:rPr>
        <w:t xml:space="preserve"> </w:t>
      </w:r>
      <w:r w:rsidR="00C266A0">
        <w:rPr>
          <w:szCs w:val="24"/>
        </w:rPr>
        <w:t xml:space="preserve">Ficam suprimidos os incisos XVII e XVIII do artigo 56 da Lei nº </w:t>
      </w:r>
      <w:r w:rsidR="00C266A0">
        <w:rPr>
          <w:rFonts w:cs="Calibri"/>
        </w:rPr>
        <w:t xml:space="preserve">2.845, </w:t>
      </w:r>
      <w:r w:rsidR="00C266A0" w:rsidRPr="004D4F1A">
        <w:rPr>
          <w:rFonts w:cs="Calibri"/>
        </w:rPr>
        <w:t xml:space="preserve">de </w:t>
      </w:r>
      <w:r w:rsidR="00C266A0">
        <w:rPr>
          <w:rFonts w:cs="Calibri"/>
        </w:rPr>
        <w:t>30</w:t>
      </w:r>
      <w:r w:rsidR="00C266A0" w:rsidRPr="004D4F1A">
        <w:rPr>
          <w:rFonts w:cs="Calibri"/>
        </w:rPr>
        <w:t xml:space="preserve"> d</w:t>
      </w:r>
      <w:r w:rsidR="00C266A0">
        <w:rPr>
          <w:rFonts w:cs="Calibri"/>
        </w:rPr>
        <w:t>e junho</w:t>
      </w:r>
      <w:r w:rsidR="00C266A0" w:rsidRPr="004D4F1A">
        <w:rPr>
          <w:rFonts w:cs="Calibri"/>
        </w:rPr>
        <w:t xml:space="preserve"> d</w:t>
      </w:r>
      <w:r w:rsidR="00C266A0">
        <w:rPr>
          <w:rFonts w:cs="Calibri"/>
        </w:rPr>
        <w:t>e</w:t>
      </w:r>
      <w:r w:rsidR="00C266A0" w:rsidRPr="004D4F1A">
        <w:rPr>
          <w:rFonts w:cs="Calibri"/>
        </w:rPr>
        <w:t xml:space="preserve"> 2021</w:t>
      </w:r>
      <w:r w:rsidR="00C266A0">
        <w:rPr>
          <w:rFonts w:cs="Calibri"/>
        </w:rPr>
        <w:t xml:space="preserve">, ficando suas informações consolidadas no anexo de que trata o inciso XI do </w:t>
      </w:r>
      <w:r>
        <w:rPr>
          <w:rFonts w:cs="Calibri"/>
        </w:rPr>
        <w:t>artigo 4º desta Lei</w:t>
      </w:r>
      <w:r w:rsidR="00C266A0">
        <w:rPr>
          <w:rFonts w:cs="Calibri"/>
        </w:rPr>
        <w:t>.</w:t>
      </w:r>
    </w:p>
    <w:p w14:paraId="167916DD" w14:textId="77777777" w:rsidR="00C266A0" w:rsidRDefault="00C266A0" w:rsidP="005C3FA8">
      <w:pPr>
        <w:spacing w:line="360" w:lineRule="auto"/>
        <w:ind w:firstLine="708"/>
        <w:rPr>
          <w:szCs w:val="24"/>
        </w:rPr>
      </w:pPr>
    </w:p>
    <w:p w14:paraId="4139208F" w14:textId="3BF0C636" w:rsidR="003D2913" w:rsidRPr="005C3FA8" w:rsidRDefault="00C266A0" w:rsidP="005C3FA8">
      <w:pPr>
        <w:spacing w:line="360" w:lineRule="auto"/>
        <w:ind w:firstLine="708"/>
        <w:rPr>
          <w:szCs w:val="24"/>
        </w:rPr>
      </w:pPr>
      <w:r w:rsidRPr="00C266A0">
        <w:rPr>
          <w:b/>
          <w:bCs/>
          <w:szCs w:val="24"/>
        </w:rPr>
        <w:t>Art. 5º.</w:t>
      </w:r>
      <w:r>
        <w:rPr>
          <w:szCs w:val="24"/>
        </w:rPr>
        <w:t xml:space="preserve"> </w:t>
      </w:r>
      <w:r w:rsidR="003D2913" w:rsidRPr="005C3FA8">
        <w:rPr>
          <w:szCs w:val="24"/>
        </w:rPr>
        <w:t>Esta Lei entra em vigor na data de sua publicação.</w:t>
      </w:r>
    </w:p>
    <w:p w14:paraId="1906D572" w14:textId="36373115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7E62D515" w14:textId="30957A65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71854097" w14:textId="7DF19519" w:rsidR="003D2913" w:rsidRPr="005C3FA8" w:rsidRDefault="003D2913" w:rsidP="00844054">
      <w:pPr>
        <w:spacing w:line="360" w:lineRule="auto"/>
        <w:jc w:val="center"/>
        <w:rPr>
          <w:szCs w:val="24"/>
        </w:rPr>
      </w:pPr>
      <w:r w:rsidRPr="005C3FA8">
        <w:rPr>
          <w:szCs w:val="24"/>
        </w:rPr>
        <w:t xml:space="preserve">Carmo do Cajuru, </w:t>
      </w:r>
      <w:r w:rsidR="00C52349">
        <w:rPr>
          <w:szCs w:val="24"/>
        </w:rPr>
        <w:t>21</w:t>
      </w:r>
      <w:r w:rsidRPr="005C3FA8">
        <w:rPr>
          <w:szCs w:val="24"/>
        </w:rPr>
        <w:t xml:space="preserve"> de </w:t>
      </w:r>
      <w:r w:rsidR="00C52349">
        <w:rPr>
          <w:szCs w:val="24"/>
        </w:rPr>
        <w:t>outubro</w:t>
      </w:r>
      <w:r w:rsidRPr="005C3FA8">
        <w:rPr>
          <w:szCs w:val="24"/>
        </w:rPr>
        <w:t xml:space="preserve"> de 2021.</w:t>
      </w:r>
    </w:p>
    <w:p w14:paraId="243590CE" w14:textId="58EDA5BC" w:rsidR="003D2913" w:rsidRPr="005C3FA8" w:rsidRDefault="003D2913" w:rsidP="005C3FA8">
      <w:pPr>
        <w:spacing w:line="360" w:lineRule="auto"/>
        <w:rPr>
          <w:szCs w:val="24"/>
        </w:rPr>
      </w:pPr>
    </w:p>
    <w:p w14:paraId="2FFC0AEB" w14:textId="77777777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606EC9C0" w14:textId="77777777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2014F6B7" w14:textId="77777777" w:rsidR="003D2913" w:rsidRPr="005C3FA8" w:rsidRDefault="003D2913" w:rsidP="00C52349">
      <w:pPr>
        <w:spacing w:line="276" w:lineRule="auto"/>
        <w:jc w:val="center"/>
        <w:rPr>
          <w:b/>
          <w:bCs/>
          <w:szCs w:val="24"/>
        </w:rPr>
      </w:pPr>
      <w:r w:rsidRPr="005C3FA8">
        <w:rPr>
          <w:b/>
          <w:bCs/>
          <w:szCs w:val="24"/>
        </w:rPr>
        <w:t>Edson de Souza Vilela</w:t>
      </w:r>
    </w:p>
    <w:p w14:paraId="49585689" w14:textId="4E63A5C5" w:rsidR="003D2913" w:rsidRPr="00C52349" w:rsidRDefault="003D2913" w:rsidP="00C52349">
      <w:pPr>
        <w:spacing w:line="276" w:lineRule="auto"/>
        <w:jc w:val="center"/>
        <w:rPr>
          <w:b/>
          <w:bCs/>
          <w:szCs w:val="24"/>
        </w:rPr>
      </w:pPr>
      <w:r w:rsidRPr="00C52349">
        <w:rPr>
          <w:b/>
          <w:bCs/>
          <w:szCs w:val="24"/>
        </w:rPr>
        <w:t>Prefeito de Carmo do Cajuru</w:t>
      </w:r>
    </w:p>
    <w:p w14:paraId="5FDB6875" w14:textId="7F432DF0" w:rsidR="00C26A09" w:rsidRDefault="00C26A09" w:rsidP="005C3FA8">
      <w:pPr>
        <w:spacing w:line="360" w:lineRule="auto"/>
        <w:jc w:val="center"/>
        <w:rPr>
          <w:szCs w:val="24"/>
        </w:rPr>
      </w:pPr>
    </w:p>
    <w:p w14:paraId="4F463D6F" w14:textId="54AF9EDE" w:rsidR="00C26A09" w:rsidRDefault="00C26A09" w:rsidP="005C3FA8">
      <w:pPr>
        <w:spacing w:line="360" w:lineRule="auto"/>
        <w:jc w:val="center"/>
        <w:rPr>
          <w:szCs w:val="24"/>
        </w:rPr>
      </w:pPr>
    </w:p>
    <w:p w14:paraId="706E98CA" w14:textId="5DE87E08" w:rsidR="00C26A09" w:rsidRDefault="00C26A09" w:rsidP="005C3FA8">
      <w:pPr>
        <w:spacing w:line="360" w:lineRule="auto"/>
        <w:jc w:val="center"/>
        <w:rPr>
          <w:szCs w:val="24"/>
        </w:rPr>
      </w:pPr>
    </w:p>
    <w:p w14:paraId="3B37F477" w14:textId="6CAA40DC" w:rsidR="00C26A09" w:rsidRDefault="00C26A09" w:rsidP="005C3FA8">
      <w:pPr>
        <w:spacing w:line="360" w:lineRule="auto"/>
        <w:jc w:val="center"/>
        <w:rPr>
          <w:szCs w:val="24"/>
        </w:rPr>
      </w:pPr>
    </w:p>
    <w:p w14:paraId="5A872AA3" w14:textId="4376E132" w:rsidR="00C26A09" w:rsidRDefault="00C26A09" w:rsidP="005C3FA8">
      <w:pPr>
        <w:spacing w:line="360" w:lineRule="auto"/>
        <w:jc w:val="center"/>
        <w:rPr>
          <w:szCs w:val="24"/>
        </w:rPr>
      </w:pPr>
    </w:p>
    <w:p w14:paraId="42AA21F7" w14:textId="13E5E2AA" w:rsidR="00C52349" w:rsidRDefault="00C52349" w:rsidP="005C3FA8">
      <w:pPr>
        <w:spacing w:line="360" w:lineRule="auto"/>
        <w:jc w:val="center"/>
        <w:rPr>
          <w:szCs w:val="24"/>
        </w:rPr>
      </w:pPr>
    </w:p>
    <w:p w14:paraId="753556BE" w14:textId="1A4D9FB3" w:rsidR="00C52349" w:rsidRDefault="00C52349" w:rsidP="005C3FA8">
      <w:pPr>
        <w:spacing w:line="360" w:lineRule="auto"/>
        <w:jc w:val="center"/>
        <w:rPr>
          <w:szCs w:val="24"/>
        </w:rPr>
      </w:pPr>
    </w:p>
    <w:p w14:paraId="2EF4666D" w14:textId="710A399D" w:rsidR="00C52349" w:rsidRDefault="00C52349" w:rsidP="005C3FA8">
      <w:pPr>
        <w:spacing w:line="360" w:lineRule="auto"/>
        <w:jc w:val="center"/>
        <w:rPr>
          <w:szCs w:val="24"/>
        </w:rPr>
      </w:pPr>
    </w:p>
    <w:p w14:paraId="305129F5" w14:textId="34C36177" w:rsidR="00C52349" w:rsidRDefault="00C52349" w:rsidP="005C3FA8">
      <w:pPr>
        <w:spacing w:line="360" w:lineRule="auto"/>
        <w:jc w:val="center"/>
        <w:rPr>
          <w:szCs w:val="24"/>
        </w:rPr>
      </w:pPr>
    </w:p>
    <w:p w14:paraId="467ED451" w14:textId="0AA40936" w:rsidR="00C52349" w:rsidRDefault="00C52349" w:rsidP="005C3FA8">
      <w:pPr>
        <w:spacing w:line="360" w:lineRule="auto"/>
        <w:jc w:val="center"/>
        <w:rPr>
          <w:szCs w:val="24"/>
        </w:rPr>
      </w:pPr>
    </w:p>
    <w:p w14:paraId="507F63B3" w14:textId="192033D0" w:rsidR="00C52349" w:rsidRDefault="00C52349" w:rsidP="00A335FB">
      <w:pPr>
        <w:spacing w:line="360" w:lineRule="auto"/>
        <w:rPr>
          <w:szCs w:val="24"/>
        </w:rPr>
      </w:pPr>
    </w:p>
    <w:p w14:paraId="03707CE5" w14:textId="77777777" w:rsidR="00A335FB" w:rsidRDefault="00A335FB" w:rsidP="00A335FB">
      <w:pPr>
        <w:spacing w:line="360" w:lineRule="auto"/>
        <w:rPr>
          <w:szCs w:val="24"/>
        </w:rPr>
      </w:pPr>
    </w:p>
    <w:p w14:paraId="4934BFD5" w14:textId="07B032F0" w:rsidR="00C26A09" w:rsidRDefault="00C26A09" w:rsidP="00844054">
      <w:pPr>
        <w:spacing w:line="360" w:lineRule="auto"/>
        <w:rPr>
          <w:szCs w:val="24"/>
        </w:rPr>
      </w:pPr>
    </w:p>
    <w:p w14:paraId="2C8A4D37" w14:textId="77777777" w:rsidR="00C26A09" w:rsidRPr="00C52B0E" w:rsidRDefault="00C26A09" w:rsidP="00C26A0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50C10AF9" w14:textId="77777777" w:rsidR="00C26A09" w:rsidRDefault="00C26A09" w:rsidP="00C26A0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t>DA JUSTIFICATIVA</w:t>
      </w:r>
    </w:p>
    <w:p w14:paraId="18CEE40D" w14:textId="77777777" w:rsidR="00C26A09" w:rsidRPr="00C52B0E" w:rsidRDefault="00C26A09" w:rsidP="00C26A0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72EC2FE2" w14:textId="77777777" w:rsidR="00C26A09" w:rsidRDefault="00C26A09" w:rsidP="00C26A09">
      <w:pPr>
        <w:spacing w:line="360" w:lineRule="auto"/>
        <w:rPr>
          <w:sz w:val="22"/>
        </w:rPr>
      </w:pPr>
    </w:p>
    <w:p w14:paraId="69F5E95C" w14:textId="77777777" w:rsidR="00C26A09" w:rsidRDefault="00C26A09" w:rsidP="00C52B0E">
      <w:pPr>
        <w:spacing w:line="276" w:lineRule="auto"/>
        <w:ind w:firstLine="851"/>
      </w:pPr>
      <w:r>
        <w:rPr>
          <w:sz w:val="22"/>
        </w:rPr>
        <w:t>Senhor Presidente,</w:t>
      </w:r>
    </w:p>
    <w:p w14:paraId="531D77D0" w14:textId="32758CE3" w:rsidR="00C26A09" w:rsidRDefault="00C26A09" w:rsidP="00C52B0E">
      <w:pPr>
        <w:spacing w:line="276" w:lineRule="auto"/>
        <w:ind w:firstLine="851"/>
      </w:pPr>
      <w:r>
        <w:rPr>
          <w:sz w:val="22"/>
        </w:rPr>
        <w:t>Nobres Vereadores,</w:t>
      </w:r>
    </w:p>
    <w:p w14:paraId="62AABFC6" w14:textId="4B8BEA91" w:rsidR="00C26A09" w:rsidRDefault="00C26A09" w:rsidP="00C52B0E">
      <w:pPr>
        <w:spacing w:line="276" w:lineRule="auto"/>
        <w:ind w:firstLine="851"/>
      </w:pPr>
    </w:p>
    <w:p w14:paraId="51B29C22" w14:textId="6FCA2BFC" w:rsidR="00C26A09" w:rsidRDefault="00C26A09" w:rsidP="00C52B0E">
      <w:pPr>
        <w:spacing w:line="276" w:lineRule="auto"/>
        <w:ind w:firstLine="851"/>
        <w:rPr>
          <w:sz w:val="22"/>
        </w:rPr>
      </w:pPr>
      <w:r>
        <w:rPr>
          <w:sz w:val="22"/>
        </w:rPr>
        <w:t xml:space="preserve">Tenho a honra de submeter </w:t>
      </w:r>
      <w:r w:rsidR="00D446B9">
        <w:rPr>
          <w:sz w:val="22"/>
        </w:rPr>
        <w:t>a</w:t>
      </w:r>
      <w:r>
        <w:rPr>
          <w:sz w:val="22"/>
        </w:rPr>
        <w:t xml:space="preserve"> deliberação e apreciação dessa Egrégia Câmara Municipal o presente Projeto de Lei</w:t>
      </w:r>
      <w:r w:rsidR="00C266A0">
        <w:rPr>
          <w:sz w:val="22"/>
        </w:rPr>
        <w:t>,</w:t>
      </w:r>
      <w:r>
        <w:rPr>
          <w:sz w:val="22"/>
        </w:rPr>
        <w:t xml:space="preserve"> que visa a </w:t>
      </w:r>
      <w:r w:rsidR="00C266A0">
        <w:rPr>
          <w:sz w:val="22"/>
        </w:rPr>
        <w:t xml:space="preserve">alterar e complementar a Lei </w:t>
      </w:r>
      <w:r w:rsidR="00C266A0" w:rsidRPr="00C266A0">
        <w:rPr>
          <w:sz w:val="22"/>
        </w:rPr>
        <w:t xml:space="preserve">nº </w:t>
      </w:r>
      <w:r w:rsidR="00C266A0" w:rsidRPr="00C266A0">
        <w:rPr>
          <w:rFonts w:cs="Calibri"/>
          <w:sz w:val="22"/>
        </w:rPr>
        <w:t>2.845, de 30 de junho de 2021</w:t>
      </w:r>
      <w:r w:rsidR="00C266A0">
        <w:rPr>
          <w:rFonts w:cs="Calibri"/>
          <w:sz w:val="22"/>
        </w:rPr>
        <w:t xml:space="preserve">, mormente no que tange aos seus artigos 55 e 56, justamente os anexos constantes </w:t>
      </w:r>
      <w:r w:rsidR="00C52B0E">
        <w:rPr>
          <w:rFonts w:cs="Calibri"/>
          <w:sz w:val="22"/>
        </w:rPr>
        <w:t>da</w:t>
      </w:r>
      <w:r w:rsidR="00C266A0">
        <w:rPr>
          <w:rFonts w:cs="Calibri"/>
          <w:sz w:val="22"/>
        </w:rPr>
        <w:t xml:space="preserve"> Lei.</w:t>
      </w:r>
    </w:p>
    <w:p w14:paraId="662FCDE8" w14:textId="52FB244F" w:rsidR="00C26A09" w:rsidRDefault="00C26A09" w:rsidP="00C52B0E">
      <w:pPr>
        <w:spacing w:line="276" w:lineRule="auto"/>
        <w:ind w:firstLine="851"/>
        <w:rPr>
          <w:sz w:val="22"/>
        </w:rPr>
      </w:pPr>
    </w:p>
    <w:p w14:paraId="07ACBB2D" w14:textId="6A596ECC" w:rsidR="00C26A09" w:rsidRDefault="00C26A09" w:rsidP="00C52B0E">
      <w:pPr>
        <w:spacing w:line="276" w:lineRule="auto"/>
        <w:ind w:firstLine="851"/>
        <w:rPr>
          <w:sz w:val="22"/>
        </w:rPr>
      </w:pPr>
      <w:r>
        <w:rPr>
          <w:sz w:val="22"/>
        </w:rPr>
        <w:t>Tal proposta</w:t>
      </w:r>
      <w:r w:rsidR="00C266A0">
        <w:rPr>
          <w:sz w:val="22"/>
        </w:rPr>
        <w:t xml:space="preserve"> é fundamental para a compatibilização dos instrumentos de planejamento do Município, que compreendem o PPA 2022-2025, a LDO para 2022 e a LOA também para 2022, uma vez que tais lei não podem conflitar ou divergir entre si.</w:t>
      </w:r>
    </w:p>
    <w:p w14:paraId="6CF83E1D" w14:textId="0A73DD3E" w:rsidR="00C26A09" w:rsidRDefault="00C26A09" w:rsidP="00C52B0E">
      <w:pPr>
        <w:spacing w:line="276" w:lineRule="auto"/>
        <w:ind w:firstLine="851"/>
        <w:rPr>
          <w:sz w:val="22"/>
        </w:rPr>
      </w:pPr>
    </w:p>
    <w:p w14:paraId="19FB4CFF" w14:textId="467CC96D" w:rsidR="00C26A09" w:rsidRDefault="00C52B0E" w:rsidP="00C52B0E">
      <w:pPr>
        <w:spacing w:line="276" w:lineRule="auto"/>
        <w:ind w:firstLine="851"/>
        <w:rPr>
          <w:sz w:val="22"/>
        </w:rPr>
      </w:pPr>
      <w:r>
        <w:rPr>
          <w:sz w:val="22"/>
        </w:rPr>
        <w:t>No mais, a própria LDO, em seu texto original, previu a presente complementação e a possibilidade de alteração de anexos visando a compatibilização dos instrumentos, uma vez que, pelo cumprimento da legislação pátria, no primeiro ano do mandato do Chefe do Executivo, sempre, a LDO é votada antes do PPA.</w:t>
      </w:r>
    </w:p>
    <w:p w14:paraId="2C4EAF9D" w14:textId="61B3E962" w:rsidR="00C26A09" w:rsidRDefault="00C26A09" w:rsidP="00C52B0E">
      <w:pPr>
        <w:spacing w:line="276" w:lineRule="auto"/>
        <w:ind w:firstLine="851"/>
        <w:rPr>
          <w:sz w:val="22"/>
        </w:rPr>
      </w:pPr>
    </w:p>
    <w:p w14:paraId="4E0D3C27" w14:textId="40E6D5A6" w:rsidR="00C26A09" w:rsidRDefault="00C26A09" w:rsidP="00C52B0E">
      <w:pPr>
        <w:spacing w:line="276" w:lineRule="auto"/>
        <w:ind w:firstLine="851"/>
        <w:rPr>
          <w:sz w:val="22"/>
        </w:rPr>
      </w:pPr>
      <w:r>
        <w:rPr>
          <w:sz w:val="22"/>
        </w:rPr>
        <w:t>P</w:t>
      </w:r>
      <w:r w:rsidR="00D446B9">
        <w:rPr>
          <w:sz w:val="22"/>
        </w:rPr>
        <w:t>ortanto, vencida a demonstração da necessidade dessa proposta, frisa-se que p</w:t>
      </w:r>
      <w:r>
        <w:rPr>
          <w:sz w:val="22"/>
        </w:rPr>
        <w:t xml:space="preserve">ara subsidiar a </w:t>
      </w:r>
      <w:r w:rsidR="00D446B9">
        <w:rPr>
          <w:sz w:val="22"/>
        </w:rPr>
        <w:t>sua aprovação</w:t>
      </w:r>
      <w:r w:rsidR="00C52B0E">
        <w:rPr>
          <w:sz w:val="22"/>
        </w:rPr>
        <w:t>, é importante frisar ainda que não existe qualquer óbice de ordem técnica ou legal para a presente proposta.</w:t>
      </w:r>
    </w:p>
    <w:p w14:paraId="23A48C8E" w14:textId="7AB0FB53" w:rsidR="00D446B9" w:rsidRDefault="00D446B9" w:rsidP="00C52B0E">
      <w:pPr>
        <w:spacing w:line="276" w:lineRule="auto"/>
        <w:rPr>
          <w:sz w:val="22"/>
        </w:rPr>
      </w:pPr>
    </w:p>
    <w:p w14:paraId="72A693E3" w14:textId="5443BB94" w:rsidR="00D446B9" w:rsidRDefault="00D446B9" w:rsidP="00C52B0E">
      <w:pPr>
        <w:spacing w:line="276" w:lineRule="auto"/>
        <w:ind w:firstLine="851"/>
        <w:rPr>
          <w:sz w:val="22"/>
        </w:rPr>
      </w:pPr>
      <w:r>
        <w:rPr>
          <w:sz w:val="22"/>
        </w:rPr>
        <w:t>Na oportunidade, estendo ao Senhor Presidente e a todos os seus pares protestos da mais elevada estima e distinta consideração.</w:t>
      </w:r>
    </w:p>
    <w:p w14:paraId="457FF3E8" w14:textId="58BCEEA3" w:rsidR="00D446B9" w:rsidRDefault="00D446B9" w:rsidP="00C52B0E">
      <w:pPr>
        <w:spacing w:line="276" w:lineRule="auto"/>
        <w:ind w:firstLine="851"/>
        <w:rPr>
          <w:sz w:val="22"/>
        </w:rPr>
      </w:pPr>
    </w:p>
    <w:p w14:paraId="4D7A163F" w14:textId="557DD05B" w:rsidR="00D446B9" w:rsidRDefault="00D446B9" w:rsidP="00C52B0E">
      <w:pPr>
        <w:spacing w:line="276" w:lineRule="auto"/>
        <w:ind w:firstLine="851"/>
        <w:rPr>
          <w:sz w:val="22"/>
        </w:rPr>
      </w:pPr>
      <w:r>
        <w:rPr>
          <w:sz w:val="22"/>
        </w:rPr>
        <w:t xml:space="preserve">Carmo do Cajuru, </w:t>
      </w:r>
      <w:r w:rsidR="00C52349">
        <w:rPr>
          <w:sz w:val="22"/>
        </w:rPr>
        <w:t>21</w:t>
      </w:r>
      <w:r>
        <w:rPr>
          <w:sz w:val="22"/>
        </w:rPr>
        <w:t xml:space="preserve"> de </w:t>
      </w:r>
      <w:r w:rsidR="00C52349">
        <w:rPr>
          <w:sz w:val="22"/>
        </w:rPr>
        <w:t>outubro</w:t>
      </w:r>
      <w:r>
        <w:rPr>
          <w:sz w:val="22"/>
        </w:rPr>
        <w:t xml:space="preserve"> de 2021.</w:t>
      </w:r>
    </w:p>
    <w:p w14:paraId="56AF0448" w14:textId="1344141A" w:rsidR="00C52B0E" w:rsidRDefault="00C52B0E" w:rsidP="00C52B0E">
      <w:pPr>
        <w:spacing w:line="276" w:lineRule="auto"/>
        <w:ind w:firstLine="851"/>
        <w:rPr>
          <w:sz w:val="22"/>
        </w:rPr>
      </w:pPr>
    </w:p>
    <w:p w14:paraId="35C3EA09" w14:textId="77777777" w:rsidR="00C52B0E" w:rsidRDefault="00C52B0E" w:rsidP="00C52B0E">
      <w:pPr>
        <w:spacing w:line="276" w:lineRule="auto"/>
        <w:ind w:firstLine="851"/>
        <w:rPr>
          <w:sz w:val="22"/>
        </w:rPr>
      </w:pPr>
    </w:p>
    <w:p w14:paraId="21C15FF8" w14:textId="128B769A" w:rsidR="00D446B9" w:rsidRDefault="00D446B9" w:rsidP="00C52B0E">
      <w:pPr>
        <w:spacing w:line="276" w:lineRule="auto"/>
        <w:ind w:firstLine="851"/>
        <w:rPr>
          <w:sz w:val="22"/>
        </w:rPr>
      </w:pPr>
    </w:p>
    <w:p w14:paraId="0B51ACB1" w14:textId="6CE59560" w:rsidR="00D446B9" w:rsidRPr="00D446B9" w:rsidRDefault="00D446B9" w:rsidP="00C52B0E">
      <w:pPr>
        <w:spacing w:line="276" w:lineRule="auto"/>
        <w:jc w:val="center"/>
        <w:rPr>
          <w:b/>
          <w:bCs/>
          <w:sz w:val="22"/>
        </w:rPr>
      </w:pPr>
      <w:r w:rsidRPr="00D446B9">
        <w:rPr>
          <w:b/>
          <w:bCs/>
          <w:sz w:val="22"/>
        </w:rPr>
        <w:t>Edson de Souza Vilela</w:t>
      </w:r>
    </w:p>
    <w:p w14:paraId="3EA08294" w14:textId="5DD1CCCE" w:rsidR="00D446B9" w:rsidRPr="00C52349" w:rsidRDefault="00D446B9" w:rsidP="00C52B0E">
      <w:pPr>
        <w:spacing w:line="276" w:lineRule="auto"/>
        <w:jc w:val="center"/>
        <w:rPr>
          <w:b/>
          <w:bCs/>
          <w:sz w:val="22"/>
        </w:rPr>
      </w:pPr>
      <w:r w:rsidRPr="00C52349">
        <w:rPr>
          <w:b/>
          <w:bCs/>
          <w:sz w:val="22"/>
        </w:rPr>
        <w:t>Prefeito de Carmo do Cajuru</w:t>
      </w:r>
    </w:p>
    <w:p w14:paraId="21AB3AD8" w14:textId="40FD3A6C" w:rsidR="00D446B9" w:rsidRDefault="00D446B9" w:rsidP="00C26A09">
      <w:pPr>
        <w:spacing w:line="360" w:lineRule="auto"/>
        <w:ind w:firstLine="851"/>
        <w:rPr>
          <w:sz w:val="22"/>
        </w:rPr>
      </w:pPr>
    </w:p>
    <w:p w14:paraId="4DB725CA" w14:textId="77777777" w:rsidR="00D446B9" w:rsidRPr="00C26A09" w:rsidRDefault="00D446B9" w:rsidP="00C26A09">
      <w:pPr>
        <w:spacing w:line="360" w:lineRule="auto"/>
        <w:ind w:firstLine="851"/>
      </w:pPr>
    </w:p>
    <w:sectPr w:rsidR="00D446B9" w:rsidRPr="00C26A09" w:rsidSect="00C52B0E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13"/>
    <w:rsid w:val="00024461"/>
    <w:rsid w:val="00047FF0"/>
    <w:rsid w:val="000F0462"/>
    <w:rsid w:val="000F2DB1"/>
    <w:rsid w:val="0012316E"/>
    <w:rsid w:val="00214855"/>
    <w:rsid w:val="003D2913"/>
    <w:rsid w:val="004D49DB"/>
    <w:rsid w:val="005B42C7"/>
    <w:rsid w:val="005C3FA8"/>
    <w:rsid w:val="006364A3"/>
    <w:rsid w:val="007079D8"/>
    <w:rsid w:val="00720689"/>
    <w:rsid w:val="007F6105"/>
    <w:rsid w:val="00805815"/>
    <w:rsid w:val="00844054"/>
    <w:rsid w:val="00876BC9"/>
    <w:rsid w:val="00965AFB"/>
    <w:rsid w:val="009E0F51"/>
    <w:rsid w:val="00A335FB"/>
    <w:rsid w:val="00C266A0"/>
    <w:rsid w:val="00C26A09"/>
    <w:rsid w:val="00C52349"/>
    <w:rsid w:val="00C52B0E"/>
    <w:rsid w:val="00C90C29"/>
    <w:rsid w:val="00CA4860"/>
    <w:rsid w:val="00D446B9"/>
    <w:rsid w:val="00EA0430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1F5"/>
  <w15:chartTrackingRefBased/>
  <w15:docId w15:val="{6195157F-A6D6-4205-A797-396329A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13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unhideWhenUsed/>
    <w:qFormat/>
    <w:rsid w:val="003D29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D2913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3D2913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3D2913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Corpodetextorecuado">
    <w:name w:val="Corpo de texto recuado"/>
    <w:basedOn w:val="Normal"/>
    <w:uiPriority w:val="99"/>
    <w:semiHidden/>
    <w:unhideWhenUsed/>
    <w:rsid w:val="00C26A09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Maia Amaral</dc:creator>
  <cp:keywords/>
  <dc:description/>
  <cp:lastModifiedBy>Mateus</cp:lastModifiedBy>
  <cp:revision>7</cp:revision>
  <dcterms:created xsi:type="dcterms:W3CDTF">2021-10-21T20:17:00Z</dcterms:created>
  <dcterms:modified xsi:type="dcterms:W3CDTF">2021-10-22T13:36:00Z</dcterms:modified>
</cp:coreProperties>
</file>