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12" w:rsidRDefault="00860C12" w:rsidP="00860C12">
      <w:pPr>
        <w:pStyle w:val="Ttulo9"/>
        <w:pBdr>
          <w:top w:val="single" w:sz="4" w:space="0" w:color="auto"/>
        </w:pBdr>
        <w:spacing w:line="240" w:lineRule="auto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LEI Nº 2.948</w:t>
      </w:r>
      <w:r>
        <w:rPr>
          <w:rFonts w:eastAsia="Calibri"/>
          <w:sz w:val="40"/>
          <w:szCs w:val="40"/>
        </w:rPr>
        <w:t>/2023</w:t>
      </w:r>
    </w:p>
    <w:p w:rsidR="00860C12" w:rsidRDefault="00860C12" w:rsidP="00860C12">
      <w:pPr>
        <w:pStyle w:val="NormalWeb"/>
        <w:spacing w:before="0" w:beforeAutospacing="0" w:after="0" w:afterAutospacing="0"/>
        <w:ind w:left="4536"/>
        <w:jc w:val="both"/>
        <w:rPr>
          <w:rFonts w:ascii="Verdana" w:hAnsi="Verdana" w:cs="Arial"/>
          <w:b/>
          <w:i/>
          <w:iCs/>
          <w:sz w:val="20"/>
          <w:szCs w:val="20"/>
        </w:rPr>
      </w:pPr>
      <w:bookmarkStart w:id="0" w:name="_Hlk109025504"/>
    </w:p>
    <w:bookmarkEnd w:id="0"/>
    <w:p w:rsidR="00860C12" w:rsidRDefault="00860C12" w:rsidP="00860C12">
      <w:pPr>
        <w:spacing w:line="360" w:lineRule="auto"/>
        <w:ind w:left="4956"/>
        <w:contextualSpacing/>
        <w:rPr>
          <w:b/>
          <w:bCs/>
          <w:i/>
          <w:iCs/>
          <w:kern w:val="36"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Pr="0005117F">
        <w:rPr>
          <w:rFonts w:eastAsia="Times New Roman" w:cs="Tahoma"/>
          <w:b/>
          <w:bCs/>
          <w:i/>
          <w:iCs/>
          <w:color w:val="000000"/>
          <w:sz w:val="20"/>
          <w:szCs w:val="20"/>
          <w:lang w:eastAsia="pt-BR"/>
        </w:rPr>
        <w:t>Dispõe sobre a Revisão Geral e Anual, na forma do inciso X, do artigo 37, da Constituição Federal, e dá outras providências</w:t>
      </w:r>
      <w:r>
        <w:rPr>
          <w:b/>
          <w:i/>
          <w:iCs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”</w:t>
      </w:r>
      <w:r>
        <w:rPr>
          <w:b/>
          <w:bCs/>
          <w:i/>
          <w:iCs/>
          <w:kern w:val="36"/>
          <w:sz w:val="20"/>
          <w:szCs w:val="20"/>
        </w:rPr>
        <w:t xml:space="preserve"> </w:t>
      </w:r>
    </w:p>
    <w:p w:rsidR="00860C12" w:rsidRDefault="00860C12" w:rsidP="00860C12">
      <w:pPr>
        <w:spacing w:line="360" w:lineRule="auto"/>
        <w:ind w:left="4956"/>
        <w:contextualSpacing/>
        <w:rPr>
          <w:rFonts w:cs="Verdana"/>
          <w:b/>
          <w:bCs/>
          <w:i/>
          <w:iCs/>
          <w:sz w:val="20"/>
          <w:szCs w:val="20"/>
          <w:lang w:eastAsia="pt-BR"/>
        </w:rPr>
      </w:pPr>
    </w:p>
    <w:p w:rsidR="00860C12" w:rsidRDefault="00860C12" w:rsidP="00860C12">
      <w:pPr>
        <w:pStyle w:val="NormalWeb"/>
        <w:spacing w:before="0" w:beforeAutospacing="0" w:after="225" w:afterAutospacing="0" w:line="360" w:lineRule="auto"/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 Povo do Município de Carmo do Cajuru, por seus representantes na Câmara Municipal, aprovou, e o Prefeito Municipal sanciona a seguinte lei: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860C12" w:rsidRPr="0005117F" w:rsidRDefault="00860C12" w:rsidP="00860C12">
      <w:pPr>
        <w:spacing w:line="276" w:lineRule="auto"/>
        <w:ind w:firstLine="709"/>
        <w:rPr>
          <w:rFonts w:eastAsia="Times New Roman" w:cs="Tahoma"/>
          <w:color w:val="000000"/>
          <w:sz w:val="22"/>
          <w:lang w:eastAsia="pt-BR"/>
        </w:rPr>
      </w:pP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Art. 1°</w:t>
      </w:r>
      <w:r>
        <w:rPr>
          <w:rFonts w:eastAsia="Times New Roman" w:cs="Tahoma"/>
          <w:b/>
          <w:bCs/>
          <w:color w:val="000000"/>
          <w:sz w:val="22"/>
          <w:lang w:eastAsia="pt-BR"/>
        </w:rPr>
        <w:t>.</w:t>
      </w: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 </w:t>
      </w:r>
      <w:r w:rsidRPr="0005117F">
        <w:rPr>
          <w:rFonts w:eastAsia="Times New Roman" w:cs="Tahoma"/>
          <w:color w:val="000000"/>
          <w:sz w:val="22"/>
          <w:lang w:eastAsia="pt-BR"/>
        </w:rPr>
        <w:t>O Município de Carmo do Cajuru, Estado de Minas Gerais, por esta lei, concede revisão geral e anual nas remunerações dos agentes públicos municipais do Poder Executivo, inclusive suas autarquias e fundações; na forma do inciso X, do art. 37, da Constituição, sem distinção de índices, extensiva aos proventos da inatividade e às pensões com direito à paridade.</w:t>
      </w:r>
    </w:p>
    <w:p w:rsidR="00860C12" w:rsidRPr="0005117F" w:rsidRDefault="00860C12" w:rsidP="00860C12">
      <w:pPr>
        <w:spacing w:line="276" w:lineRule="auto"/>
        <w:ind w:firstLine="709"/>
        <w:rPr>
          <w:rFonts w:ascii="Tahoma" w:eastAsia="Times New Roman" w:hAnsi="Tahoma" w:cs="Tahoma"/>
          <w:color w:val="000000"/>
          <w:sz w:val="22"/>
          <w:lang w:eastAsia="pt-BR"/>
        </w:rPr>
      </w:pPr>
    </w:p>
    <w:p w:rsidR="00860C12" w:rsidRPr="0005117F" w:rsidRDefault="00860C12" w:rsidP="00860C12">
      <w:pPr>
        <w:spacing w:line="276" w:lineRule="auto"/>
        <w:ind w:firstLine="709"/>
        <w:rPr>
          <w:rFonts w:eastAsia="Times New Roman" w:cs="Tahoma"/>
          <w:color w:val="000000"/>
          <w:sz w:val="22"/>
          <w:lang w:eastAsia="pt-BR"/>
        </w:rPr>
      </w:pP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Art. 2°</w:t>
      </w:r>
      <w:r>
        <w:rPr>
          <w:rFonts w:eastAsia="Times New Roman" w:cs="Tahoma"/>
          <w:b/>
          <w:bCs/>
          <w:color w:val="000000"/>
          <w:sz w:val="22"/>
          <w:lang w:eastAsia="pt-BR"/>
        </w:rPr>
        <w:t>.</w:t>
      </w: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 </w:t>
      </w:r>
      <w:r w:rsidRPr="0005117F">
        <w:rPr>
          <w:rFonts w:eastAsia="Times New Roman" w:cs="Tahoma"/>
          <w:color w:val="000000"/>
          <w:sz w:val="22"/>
          <w:lang w:eastAsia="pt-BR"/>
        </w:rPr>
        <w:t>Aplica-se a esta revisão geral e anual o percentual de 5,93%, abrangendo todos os vencimentos, salários, proventos, pensões e/ou subsídios de cargos de provimento efetivo e comissionados; de admitidos em caráter temporário (ACT); dos aposentados e pensionistas da municipalidade com direito à paridade, nos termos e limites definidos nessa lei.</w:t>
      </w:r>
    </w:p>
    <w:p w:rsidR="00860C12" w:rsidRPr="0005117F" w:rsidRDefault="00860C12" w:rsidP="00860C12">
      <w:pPr>
        <w:spacing w:line="276" w:lineRule="auto"/>
        <w:ind w:firstLine="709"/>
        <w:rPr>
          <w:rFonts w:eastAsia="Times New Roman" w:cs="Tahoma"/>
          <w:color w:val="000000"/>
          <w:sz w:val="22"/>
          <w:lang w:eastAsia="pt-BR"/>
        </w:rPr>
      </w:pPr>
    </w:p>
    <w:p w:rsidR="00860C12" w:rsidRPr="0005117F" w:rsidRDefault="00860C12" w:rsidP="00860C12">
      <w:pPr>
        <w:spacing w:line="276" w:lineRule="auto"/>
        <w:ind w:firstLine="709"/>
        <w:rPr>
          <w:rFonts w:eastAsia="Times New Roman" w:cs="Tahoma"/>
          <w:color w:val="000000"/>
          <w:sz w:val="22"/>
          <w:lang w:eastAsia="pt-BR"/>
        </w:rPr>
      </w:pP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Art. 3º</w:t>
      </w:r>
      <w:r>
        <w:rPr>
          <w:rFonts w:eastAsia="Times New Roman" w:cs="Tahoma"/>
          <w:b/>
          <w:bCs/>
          <w:color w:val="000000"/>
          <w:sz w:val="22"/>
          <w:lang w:eastAsia="pt-BR"/>
        </w:rPr>
        <w:t>.</w:t>
      </w:r>
      <w:r w:rsidRPr="0005117F">
        <w:rPr>
          <w:rFonts w:eastAsia="Times New Roman" w:cs="Tahoma"/>
          <w:color w:val="000000"/>
          <w:sz w:val="22"/>
          <w:lang w:eastAsia="pt-BR"/>
        </w:rPr>
        <w:t xml:space="preserve"> Fica o Poder Executivo autorizado a promover a suplementação orçamentária das dotações necessárias para acudir à revisão prevista nesta lei.</w:t>
      </w:r>
    </w:p>
    <w:p w:rsidR="00860C12" w:rsidRPr="0005117F" w:rsidRDefault="00860C12" w:rsidP="00860C12">
      <w:pPr>
        <w:spacing w:line="276" w:lineRule="auto"/>
        <w:rPr>
          <w:rFonts w:ascii="Tahoma" w:eastAsia="Times New Roman" w:hAnsi="Tahoma" w:cs="Tahoma"/>
          <w:color w:val="000000"/>
          <w:sz w:val="22"/>
          <w:lang w:eastAsia="pt-BR"/>
        </w:rPr>
      </w:pP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 </w:t>
      </w:r>
    </w:p>
    <w:p w:rsidR="00860C12" w:rsidRPr="0005117F" w:rsidRDefault="00860C12" w:rsidP="00860C12">
      <w:pPr>
        <w:spacing w:line="276" w:lineRule="auto"/>
        <w:rPr>
          <w:rFonts w:eastAsia="Times New Roman" w:cs="Tahoma"/>
          <w:color w:val="000000"/>
          <w:sz w:val="22"/>
          <w:lang w:eastAsia="pt-BR"/>
        </w:rPr>
      </w:pP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        Art. 4º</w:t>
      </w:r>
      <w:r>
        <w:rPr>
          <w:rFonts w:eastAsia="Times New Roman" w:cs="Tahoma"/>
          <w:b/>
          <w:bCs/>
          <w:color w:val="000000"/>
          <w:sz w:val="22"/>
          <w:lang w:eastAsia="pt-BR"/>
        </w:rPr>
        <w:t>.</w:t>
      </w:r>
      <w:r w:rsidRPr="0005117F">
        <w:rPr>
          <w:rFonts w:eastAsia="Times New Roman" w:cs="Tahoma"/>
          <w:b/>
          <w:bCs/>
          <w:color w:val="000000"/>
          <w:sz w:val="22"/>
          <w:lang w:eastAsia="pt-BR"/>
        </w:rPr>
        <w:t> </w:t>
      </w:r>
      <w:r w:rsidRPr="0005117F">
        <w:rPr>
          <w:rFonts w:eastAsia="Times New Roman" w:cs="Tahoma"/>
          <w:color w:val="000000"/>
          <w:sz w:val="22"/>
          <w:lang w:eastAsia="pt-BR"/>
        </w:rPr>
        <w:t>Esta Lei entra em vigor na data de sua publicação, retroagindo seus efeitos a 1º de janeiro de 2023.</w:t>
      </w:r>
    </w:p>
    <w:p w:rsidR="00860C12" w:rsidRPr="0005117F" w:rsidRDefault="00860C12" w:rsidP="00860C12">
      <w:pPr>
        <w:spacing w:line="276" w:lineRule="auto"/>
        <w:rPr>
          <w:rFonts w:ascii="Tahoma" w:eastAsia="Times New Roman" w:hAnsi="Tahoma" w:cs="Tahoma"/>
          <w:color w:val="000000"/>
          <w:sz w:val="22"/>
          <w:lang w:eastAsia="pt-BR"/>
        </w:rPr>
      </w:pPr>
    </w:p>
    <w:p w:rsidR="00860C12" w:rsidRPr="0078297B" w:rsidRDefault="00860C12" w:rsidP="00860C12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>
        <w:rPr>
          <w:sz w:val="22"/>
        </w:rPr>
        <w:t>23</w:t>
      </w:r>
      <w:r w:rsidRPr="0078297B">
        <w:rPr>
          <w:sz w:val="22"/>
        </w:rPr>
        <w:t xml:space="preserve"> de </w:t>
      </w:r>
      <w:r>
        <w:rPr>
          <w:sz w:val="22"/>
        </w:rPr>
        <w:t>fevereiro</w:t>
      </w:r>
      <w:r w:rsidRPr="0078297B">
        <w:rPr>
          <w:sz w:val="22"/>
        </w:rPr>
        <w:t xml:space="preserve"> de 20</w:t>
      </w:r>
      <w:r>
        <w:rPr>
          <w:sz w:val="22"/>
        </w:rPr>
        <w:t>23</w:t>
      </w:r>
      <w:r w:rsidRPr="0078297B">
        <w:rPr>
          <w:sz w:val="22"/>
        </w:rPr>
        <w:t>.</w:t>
      </w:r>
    </w:p>
    <w:p w:rsidR="00860C12" w:rsidRDefault="00860C12" w:rsidP="00860C12">
      <w:pPr>
        <w:tabs>
          <w:tab w:val="left" w:pos="0"/>
        </w:tabs>
        <w:jc w:val="center"/>
        <w:rPr>
          <w:sz w:val="22"/>
        </w:rPr>
      </w:pPr>
    </w:p>
    <w:p w:rsidR="00860C12" w:rsidRDefault="00860C12" w:rsidP="00860C12">
      <w:pPr>
        <w:tabs>
          <w:tab w:val="left" w:pos="0"/>
        </w:tabs>
        <w:jc w:val="center"/>
        <w:rPr>
          <w:sz w:val="22"/>
        </w:rPr>
      </w:pPr>
      <w:bookmarkStart w:id="1" w:name="_GoBack"/>
      <w:bookmarkEnd w:id="1"/>
    </w:p>
    <w:p w:rsidR="00860C12" w:rsidRDefault="00860C12" w:rsidP="00860C12">
      <w:pPr>
        <w:tabs>
          <w:tab w:val="left" w:pos="0"/>
        </w:tabs>
        <w:jc w:val="center"/>
        <w:rPr>
          <w:sz w:val="22"/>
        </w:rPr>
      </w:pPr>
    </w:p>
    <w:p w:rsidR="00860C12" w:rsidRDefault="00860C12" w:rsidP="00860C12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Edson de Souza Vilela</w:t>
      </w:r>
    </w:p>
    <w:p w:rsidR="00860C12" w:rsidRDefault="00860C12" w:rsidP="00860C12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Prefeito de Carmo do Cajuru</w:t>
      </w:r>
    </w:p>
    <w:p w:rsidR="00860C12" w:rsidRDefault="00860C12" w:rsidP="00860C12">
      <w:pPr>
        <w:spacing w:line="340" w:lineRule="exact"/>
      </w:pPr>
    </w:p>
    <w:p w:rsidR="00860C12" w:rsidRDefault="00860C12" w:rsidP="00860C12"/>
    <w:p w:rsidR="00860C12" w:rsidRDefault="00860C12" w:rsidP="00860C12"/>
    <w:p w:rsidR="00860C12" w:rsidRDefault="00860C12" w:rsidP="00860C12"/>
    <w:p w:rsidR="00014673" w:rsidRDefault="00014673"/>
    <w:sectPr w:rsidR="00014673" w:rsidSect="00B731B0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2"/>
    <w:rsid w:val="00014673"/>
    <w:rsid w:val="00860C12"/>
    <w:rsid w:val="00B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0CC4"/>
  <w15:chartTrackingRefBased/>
  <w15:docId w15:val="{318B45C7-CDB9-4281-8994-0C909EA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12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860C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semiHidden/>
    <w:rsid w:val="00860C12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NormalWeb">
    <w:name w:val="Normal (Web)"/>
    <w:basedOn w:val="Normal"/>
    <w:uiPriority w:val="99"/>
    <w:semiHidden/>
    <w:unhideWhenUsed/>
    <w:rsid w:val="00860C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860C1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0C12"/>
    <w:pPr>
      <w:autoSpaceDN w:val="0"/>
      <w:spacing w:after="120"/>
    </w:pPr>
    <w:rPr>
      <w:rFonts w:ascii="Times New Roman" w:hAnsi="Times New Roman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Municipal</dc:creator>
  <cp:keywords/>
  <dc:description/>
  <cp:lastModifiedBy>Procuradoria Municipal</cp:lastModifiedBy>
  <cp:revision>1</cp:revision>
  <dcterms:created xsi:type="dcterms:W3CDTF">2023-02-23T16:54:00Z</dcterms:created>
  <dcterms:modified xsi:type="dcterms:W3CDTF">2023-02-23T16:57:00Z</dcterms:modified>
</cp:coreProperties>
</file>