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816D42">
      <w:pPr>
        <w:rPr>
          <w:rFonts w:cs="Times New Roman"/>
          <w:sz w:val="23"/>
          <w:szCs w:val="23"/>
        </w:rPr>
      </w:pPr>
    </w:p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</w:t>
      </w:r>
      <w:r w:rsidR="005939FE"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 xml:space="preserve">0/2019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a </w:t>
      </w:r>
      <w:r w:rsidR="005939FE">
        <w:rPr>
          <w:rFonts w:cs="Times New Roman"/>
          <w:sz w:val="23"/>
          <w:szCs w:val="23"/>
        </w:rPr>
        <w:t>pintura das faixas de pedestres das vias públicas de todo o município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inúmeros pedidos feitos ao nosso gabinete parlamentar, solicitamos de vossa senhoria que proceda, junto às secretarias especializadas, estudo para viabilidade, em caráter de urgência, de dar atendimento a esta solicitação, haja vista </w:t>
      </w:r>
      <w:r w:rsidR="005939FE">
        <w:rPr>
          <w:rFonts w:cs="Times New Roman"/>
          <w:sz w:val="23"/>
          <w:szCs w:val="23"/>
        </w:rPr>
        <w:t>que a visibilidade das faixas de pedestres é uma questão de segurança para os pedestres de todo o município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Carmo do Cajuru, </w:t>
      </w:r>
      <w:r w:rsidR="005939FE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 xml:space="preserve">2 de </w:t>
      </w:r>
      <w:r w:rsidR="005939FE">
        <w:rPr>
          <w:rFonts w:cs="Times New Roman"/>
          <w:sz w:val="23"/>
          <w:szCs w:val="23"/>
        </w:rPr>
        <w:t>abril</w:t>
      </w:r>
      <w:r>
        <w:rPr>
          <w:rFonts w:cs="Times New Roman"/>
          <w:sz w:val="23"/>
          <w:szCs w:val="23"/>
        </w:rPr>
        <w:t xml:space="preserve">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SEBASTIÃO DE FARIA GOMES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427404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427404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427404"/>
    <w:rsid w:val="005939FE"/>
    <w:rsid w:val="00816D42"/>
    <w:rsid w:val="00AD6F8E"/>
    <w:rsid w:val="00BC68B9"/>
    <w:rsid w:val="00D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2019-04-02T13:54:00Z</dcterms:created>
  <dcterms:modified xsi:type="dcterms:W3CDTF">2019-04-02T13:57:00Z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