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4145E4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4145E4">
        <w:rPr>
          <w:rFonts w:cs="Times New Roman"/>
          <w:sz w:val="22"/>
        </w:rPr>
        <w:t>concedido reajuste no auxílio alimentação dos servidores públicos do município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</w:t>
      </w:r>
      <w:proofErr w:type="gramStart"/>
      <w:r w:rsidRPr="00290284">
        <w:rPr>
          <w:rFonts w:cs="Times New Roman"/>
          <w:sz w:val="22"/>
        </w:rPr>
        <w:t>proceda</w:t>
      </w:r>
      <w:proofErr w:type="gramEnd"/>
      <w:r w:rsidRPr="00290284">
        <w:rPr>
          <w:rFonts w:cs="Times New Roman"/>
          <w:sz w:val="22"/>
        </w:rPr>
        <w:t xml:space="preserve"> estudo para viabilidade, em caráter de urgência, de </w:t>
      </w:r>
      <w:r w:rsidR="004145E4">
        <w:rPr>
          <w:rFonts w:cs="Times New Roman"/>
          <w:sz w:val="22"/>
        </w:rPr>
        <w:t>conceder reajuste no auxílio alimentação dos servidores públicos do município, visando a valorização dos servidores públicos municipais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4145E4">
        <w:rPr>
          <w:rFonts w:cs="Times New Roman"/>
          <w:sz w:val="22"/>
        </w:rPr>
        <w:t>23</w:t>
      </w:r>
      <w:r w:rsidRPr="00290284">
        <w:rPr>
          <w:rFonts w:cs="Times New Roman"/>
          <w:sz w:val="22"/>
        </w:rPr>
        <w:t xml:space="preserve"> de </w:t>
      </w:r>
      <w:r w:rsidR="005939FE" w:rsidRPr="00290284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0F10B6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0F10B6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290284"/>
    <w:rsid w:val="002D76DA"/>
    <w:rsid w:val="002F382A"/>
    <w:rsid w:val="003E3BAD"/>
    <w:rsid w:val="004145E4"/>
    <w:rsid w:val="00427404"/>
    <w:rsid w:val="005939FE"/>
    <w:rsid w:val="005D38A5"/>
    <w:rsid w:val="0065238A"/>
    <w:rsid w:val="00816D42"/>
    <w:rsid w:val="008F30D8"/>
    <w:rsid w:val="00AD6F8E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2019-04-23T21:10:00Z</dcterms:created>
  <dcterms:modified xsi:type="dcterms:W3CDTF">2019-04-23T21:12:00Z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