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96" w:rsidRPr="00652F28" w:rsidRDefault="00A47196" w:rsidP="00A471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Calibri" w:cs="Times New Roman"/>
          <w:b/>
          <w:sz w:val="40"/>
          <w:szCs w:val="40"/>
        </w:rPr>
      </w:pPr>
      <w:r w:rsidRPr="00652F28">
        <w:rPr>
          <w:rFonts w:eastAsia="Calibri" w:cs="Times New Roman"/>
          <w:b/>
          <w:sz w:val="40"/>
          <w:szCs w:val="40"/>
        </w:rPr>
        <w:t>LEI Nº 2.6</w:t>
      </w:r>
      <w:r>
        <w:rPr>
          <w:rFonts w:eastAsia="Calibri" w:cs="Times New Roman"/>
          <w:b/>
          <w:sz w:val="40"/>
          <w:szCs w:val="40"/>
        </w:rPr>
        <w:t>94</w:t>
      </w:r>
      <w:r w:rsidRPr="00652F28">
        <w:rPr>
          <w:rFonts w:eastAsia="Calibri" w:cs="Times New Roman"/>
          <w:b/>
          <w:sz w:val="40"/>
          <w:szCs w:val="40"/>
        </w:rPr>
        <w:t>/201</w:t>
      </w:r>
      <w:r>
        <w:rPr>
          <w:rFonts w:eastAsia="Calibri" w:cs="Times New Roman"/>
          <w:b/>
          <w:sz w:val="40"/>
          <w:szCs w:val="40"/>
        </w:rPr>
        <w:t>9</w:t>
      </w:r>
    </w:p>
    <w:p w:rsidR="00A47196" w:rsidRPr="00A7545F" w:rsidRDefault="00A47196" w:rsidP="00A47196">
      <w:pPr>
        <w:pStyle w:val="Recuodecorpodetexto"/>
        <w:spacing w:line="360" w:lineRule="auto"/>
        <w:ind w:left="4678"/>
        <w:rPr>
          <w:sz w:val="22"/>
          <w:szCs w:val="22"/>
        </w:rPr>
      </w:pPr>
    </w:p>
    <w:p w:rsidR="00A47196" w:rsidRPr="00D5038D" w:rsidRDefault="00A47196" w:rsidP="00A47196">
      <w:pPr>
        <w:ind w:left="3960"/>
        <w:rPr>
          <w:rFonts w:cs="Arial"/>
          <w:b/>
          <w:i/>
          <w:sz w:val="20"/>
          <w:szCs w:val="20"/>
        </w:rPr>
      </w:pPr>
      <w:r w:rsidRPr="00D5038D">
        <w:rPr>
          <w:b/>
          <w:i/>
          <w:sz w:val="20"/>
          <w:szCs w:val="20"/>
        </w:rPr>
        <w:t xml:space="preserve">Regulariza a documentação </w:t>
      </w:r>
      <w:r w:rsidRPr="00D5038D">
        <w:rPr>
          <w:rFonts w:eastAsia="Verdana" w:cs="Verdana"/>
          <w:b/>
          <w:i/>
          <w:sz w:val="20"/>
          <w:szCs w:val="20"/>
        </w:rPr>
        <w:t>dos imóveis do Distrito Industrial I e II</w:t>
      </w:r>
      <w:r>
        <w:rPr>
          <w:rFonts w:eastAsia="Verdana" w:cs="Verdana"/>
          <w:b/>
          <w:i/>
          <w:sz w:val="20"/>
          <w:szCs w:val="20"/>
        </w:rPr>
        <w:t xml:space="preserve"> </w:t>
      </w:r>
      <w:r w:rsidRPr="00D5038D">
        <w:rPr>
          <w:b/>
          <w:i/>
          <w:sz w:val="20"/>
          <w:szCs w:val="20"/>
        </w:rPr>
        <w:t>e p</w:t>
      </w:r>
      <w:r w:rsidRPr="00D5038D">
        <w:rPr>
          <w:rFonts w:cs="Arial"/>
          <w:b/>
          <w:i/>
          <w:sz w:val="20"/>
          <w:szCs w:val="20"/>
        </w:rPr>
        <w:t xml:space="preserve">rorroga o prazo de que trata a Lei nº. 1.848, de 17 de novembro de 1.998, </w:t>
      </w:r>
      <w:r>
        <w:rPr>
          <w:rFonts w:cs="Arial"/>
          <w:b/>
          <w:i/>
          <w:sz w:val="20"/>
          <w:szCs w:val="20"/>
        </w:rPr>
        <w:t xml:space="preserve">e </w:t>
      </w:r>
      <w:r w:rsidRPr="00D5038D">
        <w:rPr>
          <w:rFonts w:cs="Arial"/>
          <w:b/>
          <w:i/>
          <w:sz w:val="20"/>
          <w:szCs w:val="20"/>
        </w:rPr>
        <w:t>suas posteriores alterações</w:t>
      </w:r>
      <w:r>
        <w:rPr>
          <w:rFonts w:cs="Arial"/>
          <w:b/>
          <w:i/>
          <w:sz w:val="20"/>
          <w:szCs w:val="20"/>
        </w:rPr>
        <w:t>,</w:t>
      </w:r>
      <w:r w:rsidRPr="00D5038D">
        <w:rPr>
          <w:rFonts w:cs="Arial"/>
          <w:b/>
          <w:i/>
          <w:sz w:val="20"/>
          <w:szCs w:val="20"/>
        </w:rPr>
        <w:t xml:space="preserve"> e dá outras providências.</w:t>
      </w:r>
    </w:p>
    <w:p w:rsidR="00A47196" w:rsidRDefault="00A47196" w:rsidP="00A47196">
      <w:pPr>
        <w:ind w:left="5103"/>
        <w:contextualSpacing/>
        <w:rPr>
          <w:sz w:val="20"/>
        </w:rPr>
      </w:pPr>
      <w:r>
        <w:rPr>
          <w:rFonts w:cs="Arial"/>
          <w:b/>
          <w:i/>
          <w:sz w:val="22"/>
        </w:rPr>
        <w:t xml:space="preserve"> </w:t>
      </w:r>
    </w:p>
    <w:p w:rsidR="00A47196" w:rsidRDefault="00A47196" w:rsidP="00A47196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CE4934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</w:p>
    <w:p w:rsidR="0065033E" w:rsidRDefault="0065033E" w:rsidP="00A47196">
      <w:pPr>
        <w:spacing w:line="360" w:lineRule="auto"/>
        <w:ind w:firstLine="851"/>
        <w:rPr>
          <w:rFonts w:eastAsia="Calibri" w:cs="Arial"/>
          <w:i/>
          <w:szCs w:val="24"/>
        </w:rPr>
      </w:pP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Art. 1º.</w:t>
      </w:r>
      <w:r>
        <w:rPr>
          <w:rFonts w:eastAsia="Verdana" w:cs="Verdana"/>
          <w:sz w:val="22"/>
        </w:rPr>
        <w:t xml:space="preserve"> Fica instituí</w:t>
      </w:r>
      <w:r w:rsidRPr="00D5038D">
        <w:rPr>
          <w:rFonts w:eastAsia="Verdana" w:cs="Verdana"/>
          <w:sz w:val="22"/>
        </w:rPr>
        <w:t xml:space="preserve">do no Município de Carmo do Cajuru, Estado de Minas Gerais, o programa de Regularização de Imóveis Públicos localizados no Distrito Industrial I e II, bem como prorrogado </w:t>
      </w:r>
      <w:r w:rsidRPr="00D5038D">
        <w:rPr>
          <w:rFonts w:cs="Arial"/>
          <w:sz w:val="22"/>
        </w:rPr>
        <w:t>o prazo de que trata a Lei nº. 1.848, de 1998</w:t>
      </w:r>
      <w:r w:rsidRPr="00D5038D">
        <w:rPr>
          <w:rFonts w:eastAsia="Verdana" w:cs="Verdana"/>
          <w:sz w:val="22"/>
        </w:rPr>
        <w:t>.</w:t>
      </w: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</w:p>
    <w:p w:rsidR="0052107A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Art. 2º.</w:t>
      </w:r>
      <w:r w:rsidRPr="00D5038D">
        <w:rPr>
          <w:rFonts w:eastAsia="Verdana" w:cs="Verdana"/>
          <w:sz w:val="22"/>
        </w:rPr>
        <w:t xml:space="preserve"> Todas as custas e emolumentos para o registro do título de legitimação e de sua conversão em título de propriedade oriundos da regularização nestas áreas, serão de responsabilidade do proprietário. </w:t>
      </w: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Art. 3º.</w:t>
      </w:r>
      <w:r>
        <w:rPr>
          <w:rFonts w:eastAsia="Verdana" w:cs="Verdana"/>
          <w:sz w:val="22"/>
        </w:rPr>
        <w:t xml:space="preserve"> Deverão</w:t>
      </w:r>
      <w:r w:rsidRPr="00D5038D">
        <w:rPr>
          <w:rFonts w:eastAsia="Verdana" w:cs="Verdana"/>
          <w:sz w:val="22"/>
        </w:rPr>
        <w:t xml:space="preserve"> os proprietários estar com tributos destinados ao Município rigorosamente em dia.</w:t>
      </w: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</w:t>
      </w:r>
      <w:r>
        <w:rPr>
          <w:rFonts w:eastAsia="Verdana" w:cs="Verdana"/>
          <w:b/>
          <w:sz w:val="22"/>
        </w:rPr>
        <w:t>.</w:t>
      </w:r>
      <w:r w:rsidRPr="00D5038D">
        <w:rPr>
          <w:rFonts w:eastAsia="Verdana" w:cs="Verdana"/>
          <w:b/>
          <w:sz w:val="22"/>
        </w:rPr>
        <w:t xml:space="preserve"> 4º.</w:t>
      </w:r>
      <w:r w:rsidRPr="00D5038D">
        <w:rPr>
          <w:rFonts w:eastAsia="Verdana" w:cs="Verdana"/>
          <w:sz w:val="22"/>
        </w:rPr>
        <w:t xml:space="preserve"> Deverá ser comprovada a posse mansa e pacífica do imóvel a ser regularizado com no mínimo 05 (cinco) anos. </w:t>
      </w: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</w:t>
      </w:r>
      <w:r>
        <w:rPr>
          <w:rFonts w:eastAsia="Verdana" w:cs="Verdana"/>
          <w:b/>
          <w:sz w:val="22"/>
        </w:rPr>
        <w:t>.</w:t>
      </w:r>
      <w:r w:rsidRPr="00D5038D">
        <w:rPr>
          <w:rFonts w:eastAsia="Verdana" w:cs="Verdana"/>
          <w:b/>
          <w:sz w:val="22"/>
        </w:rPr>
        <w:t xml:space="preserve"> 5º.</w:t>
      </w:r>
      <w:r w:rsidRPr="00D5038D">
        <w:rPr>
          <w:rFonts w:eastAsia="Verdana" w:cs="Verdana"/>
          <w:sz w:val="22"/>
        </w:rPr>
        <w:t xml:space="preserve"> Fica autorizado o executivo municipal, em comum acordo com proprietário, a elaboração de mapa e memorial descritivo da área a ser regularizada.</w:t>
      </w:r>
    </w:p>
    <w:p w:rsidR="0052107A" w:rsidRPr="00D5038D" w:rsidRDefault="0052107A" w:rsidP="0052107A">
      <w:pPr>
        <w:ind w:firstLine="709"/>
        <w:rPr>
          <w:rFonts w:eastAsia="Verdana" w:cs="Verdana"/>
          <w:b/>
          <w:sz w:val="22"/>
        </w:rPr>
      </w:pPr>
    </w:p>
    <w:p w:rsidR="0052107A" w:rsidRDefault="0052107A" w:rsidP="0052107A">
      <w:pPr>
        <w:ind w:firstLine="709"/>
        <w:rPr>
          <w:rFonts w:cs="Arial"/>
          <w:spacing w:val="-5"/>
          <w:sz w:val="22"/>
        </w:rPr>
      </w:pPr>
      <w:r w:rsidRPr="00D5038D">
        <w:rPr>
          <w:rFonts w:cs="Arial"/>
          <w:b/>
          <w:spacing w:val="-5"/>
          <w:sz w:val="22"/>
        </w:rPr>
        <w:t>Art.</w:t>
      </w:r>
      <w:r>
        <w:rPr>
          <w:rFonts w:cs="Arial"/>
          <w:b/>
          <w:spacing w:val="-5"/>
          <w:sz w:val="22"/>
        </w:rPr>
        <w:t xml:space="preserve"> </w:t>
      </w:r>
      <w:r w:rsidRPr="00D5038D">
        <w:rPr>
          <w:rFonts w:cs="Arial"/>
          <w:b/>
          <w:spacing w:val="-5"/>
          <w:sz w:val="22"/>
        </w:rPr>
        <w:t>6º.</w:t>
      </w:r>
      <w:r w:rsidRPr="00D5038D">
        <w:rPr>
          <w:rFonts w:cs="Arial"/>
          <w:spacing w:val="-5"/>
          <w:sz w:val="22"/>
        </w:rPr>
        <w:t xml:space="preserve"> Os adquirentes de áreas no Distrito Industrial II, que quitaram integralmente as parcelas de que trata a Lei nº.</w:t>
      </w:r>
      <w:r>
        <w:rPr>
          <w:rFonts w:cs="Arial"/>
          <w:spacing w:val="-5"/>
          <w:sz w:val="22"/>
        </w:rPr>
        <w:t xml:space="preserve"> 1.848, de 1</w:t>
      </w:r>
      <w:r w:rsidRPr="00D5038D">
        <w:rPr>
          <w:rFonts w:cs="Arial"/>
          <w:spacing w:val="-5"/>
          <w:sz w:val="22"/>
        </w:rPr>
        <w:t>998, e suas posteriores alterações, terão o prazo de 24 (vinte e quatro) meses, contado da publicação desta, para construir ou concluir as benfeitorias necessári</w:t>
      </w:r>
      <w:r>
        <w:rPr>
          <w:rFonts w:cs="Arial"/>
          <w:spacing w:val="-5"/>
          <w:sz w:val="22"/>
        </w:rPr>
        <w:t>as ao exercício das atividades.</w:t>
      </w:r>
    </w:p>
    <w:p w:rsidR="0052107A" w:rsidRPr="00D5038D" w:rsidRDefault="0052107A" w:rsidP="0052107A">
      <w:pPr>
        <w:ind w:firstLine="709"/>
        <w:rPr>
          <w:rFonts w:cs="Arial"/>
          <w:spacing w:val="-5"/>
          <w:sz w:val="22"/>
        </w:rPr>
      </w:pPr>
    </w:p>
    <w:p w:rsidR="0052107A" w:rsidRDefault="0052107A" w:rsidP="0052107A">
      <w:pPr>
        <w:pStyle w:val="Corpodetextorecuado"/>
        <w:spacing w:line="240" w:lineRule="auto"/>
        <w:ind w:firstLine="709"/>
        <w:jc w:val="both"/>
        <w:rPr>
          <w:sz w:val="22"/>
          <w:szCs w:val="22"/>
        </w:rPr>
      </w:pPr>
      <w:r w:rsidRPr="009D1E33">
        <w:rPr>
          <w:b/>
          <w:sz w:val="22"/>
          <w:szCs w:val="22"/>
        </w:rPr>
        <w:t>§ 1º.</w:t>
      </w:r>
      <w:r w:rsidRPr="00D5038D">
        <w:rPr>
          <w:sz w:val="22"/>
          <w:szCs w:val="22"/>
        </w:rPr>
        <w:t xml:space="preserve"> Poderá o Poder Executivo transferir a propriedade do imóvel aos adquirentes antes de iniciadas as obras e/ou benfeitorias, e desde que cumpridas todas as demais obrigações previstas nesta lei.</w:t>
      </w:r>
    </w:p>
    <w:p w:rsidR="0052107A" w:rsidRPr="00D5038D" w:rsidRDefault="0052107A" w:rsidP="0052107A">
      <w:pPr>
        <w:pStyle w:val="Corpodetextorecuado"/>
        <w:spacing w:line="240" w:lineRule="auto"/>
        <w:ind w:firstLine="709"/>
        <w:jc w:val="both"/>
        <w:rPr>
          <w:sz w:val="22"/>
          <w:szCs w:val="22"/>
        </w:rPr>
      </w:pPr>
    </w:p>
    <w:p w:rsidR="0052107A" w:rsidRDefault="0052107A" w:rsidP="0052107A">
      <w:pPr>
        <w:pStyle w:val="Corpodetextorecuado"/>
        <w:spacing w:line="240" w:lineRule="auto"/>
        <w:ind w:firstLine="709"/>
        <w:jc w:val="both"/>
        <w:rPr>
          <w:sz w:val="22"/>
          <w:szCs w:val="22"/>
        </w:rPr>
      </w:pPr>
      <w:r w:rsidRPr="009D1E33">
        <w:rPr>
          <w:b/>
          <w:sz w:val="22"/>
          <w:szCs w:val="22"/>
        </w:rPr>
        <w:t>§ 2º.</w:t>
      </w:r>
      <w:r w:rsidRPr="00D5038D">
        <w:rPr>
          <w:sz w:val="22"/>
          <w:szCs w:val="22"/>
        </w:rPr>
        <w:t xml:space="preserve"> Na hipótese do § 1º, as obras e/ou benfeitorias devem ser finalizadas dentro do prazo estipulado no </w:t>
      </w:r>
      <w:r w:rsidRPr="00D5038D">
        <w:rPr>
          <w:i/>
          <w:sz w:val="22"/>
          <w:szCs w:val="22"/>
        </w:rPr>
        <w:t>caput</w:t>
      </w:r>
      <w:r w:rsidRPr="00D5038D">
        <w:rPr>
          <w:sz w:val="22"/>
          <w:szCs w:val="22"/>
        </w:rPr>
        <w:t xml:space="preserve"> deste artigo, cujo início computará a partir da lavratura de escritura pública de compra e venda.</w:t>
      </w:r>
    </w:p>
    <w:p w:rsidR="0052107A" w:rsidRPr="00D5038D" w:rsidRDefault="0052107A" w:rsidP="0052107A">
      <w:pPr>
        <w:pStyle w:val="Corpodetextorecuado"/>
        <w:spacing w:line="240" w:lineRule="auto"/>
        <w:ind w:firstLine="709"/>
        <w:jc w:val="both"/>
        <w:rPr>
          <w:sz w:val="22"/>
          <w:szCs w:val="22"/>
        </w:rPr>
      </w:pPr>
    </w:p>
    <w:p w:rsidR="0052107A" w:rsidRPr="00D5038D" w:rsidRDefault="0052107A" w:rsidP="0052107A">
      <w:pPr>
        <w:ind w:firstLine="709"/>
        <w:rPr>
          <w:sz w:val="22"/>
        </w:rPr>
      </w:pPr>
      <w:r w:rsidRPr="009D1E33">
        <w:rPr>
          <w:b/>
          <w:sz w:val="22"/>
        </w:rPr>
        <w:t>§ 3º.</w:t>
      </w:r>
      <w:r w:rsidRPr="00D5038D">
        <w:rPr>
          <w:sz w:val="22"/>
        </w:rPr>
        <w:t xml:space="preserve"> O imóvel será revertido ao patrimônio público em caso de descumprimento desse prazo, sem direito a indenização, devendo esta obrigação ficar expressa na escri</w:t>
      </w:r>
      <w:r>
        <w:rPr>
          <w:sz w:val="22"/>
        </w:rPr>
        <w:t>tura pública de compra e venda.</w:t>
      </w:r>
    </w:p>
    <w:p w:rsidR="0052107A" w:rsidRPr="00D5038D" w:rsidRDefault="0052107A" w:rsidP="0052107A">
      <w:pPr>
        <w:ind w:firstLine="709"/>
        <w:rPr>
          <w:rFonts w:cs="Arial"/>
          <w:b/>
          <w:sz w:val="22"/>
        </w:rPr>
      </w:pPr>
    </w:p>
    <w:p w:rsidR="0052107A" w:rsidRPr="00D5038D" w:rsidRDefault="0052107A" w:rsidP="0052107A">
      <w:pPr>
        <w:ind w:firstLine="709"/>
        <w:rPr>
          <w:rFonts w:cs="Arial"/>
          <w:b/>
          <w:sz w:val="22"/>
        </w:rPr>
      </w:pPr>
      <w:r w:rsidRPr="00D5038D">
        <w:rPr>
          <w:rFonts w:cs="Arial"/>
          <w:b/>
          <w:sz w:val="22"/>
        </w:rPr>
        <w:t>Art.</w:t>
      </w:r>
      <w:r>
        <w:rPr>
          <w:rFonts w:cs="Arial"/>
          <w:b/>
          <w:sz w:val="22"/>
        </w:rPr>
        <w:t xml:space="preserve"> </w:t>
      </w:r>
      <w:r w:rsidRPr="00D5038D">
        <w:rPr>
          <w:rFonts w:cs="Arial"/>
          <w:b/>
          <w:sz w:val="22"/>
        </w:rPr>
        <w:t>7º.</w:t>
      </w:r>
      <w:r w:rsidRPr="00D5038D">
        <w:rPr>
          <w:rFonts w:cs="Arial"/>
          <w:sz w:val="22"/>
        </w:rPr>
        <w:t xml:space="preserve"> Fica o </w:t>
      </w:r>
      <w:r>
        <w:rPr>
          <w:rFonts w:cs="Arial"/>
          <w:sz w:val="22"/>
        </w:rPr>
        <w:t>P</w:t>
      </w:r>
      <w:r w:rsidRPr="00D5038D">
        <w:rPr>
          <w:rFonts w:cs="Arial"/>
          <w:sz w:val="22"/>
        </w:rPr>
        <w:t xml:space="preserve">oder </w:t>
      </w:r>
      <w:r>
        <w:rPr>
          <w:rFonts w:cs="Arial"/>
          <w:sz w:val="22"/>
        </w:rPr>
        <w:t>E</w:t>
      </w:r>
      <w:r w:rsidRPr="00D5038D">
        <w:rPr>
          <w:rFonts w:cs="Arial"/>
          <w:sz w:val="22"/>
        </w:rPr>
        <w:t>xecutivo,</w:t>
      </w:r>
      <w:r w:rsidRPr="00D5038D">
        <w:rPr>
          <w:rFonts w:eastAsia="Arial" w:cs="Arial"/>
          <w:sz w:val="22"/>
        </w:rPr>
        <w:t xml:space="preserve"> no viger desta Lei,</w:t>
      </w:r>
      <w:r w:rsidRPr="00D5038D">
        <w:rPr>
          <w:rFonts w:cs="Arial"/>
          <w:sz w:val="22"/>
        </w:rPr>
        <w:t xml:space="preserve"> autorizado a promover a regularização de parcelamento de área consolidada anteriormente a </w:t>
      </w:r>
      <w:r w:rsidRPr="00D5038D">
        <w:rPr>
          <w:rFonts w:eastAsia="Arial" w:cs="Arial"/>
          <w:sz w:val="22"/>
        </w:rPr>
        <w:t>Lei Complementar 80</w:t>
      </w:r>
      <w:r>
        <w:rPr>
          <w:rFonts w:eastAsia="Arial" w:cs="Arial"/>
          <w:sz w:val="22"/>
        </w:rPr>
        <w:t xml:space="preserve">, de </w:t>
      </w:r>
      <w:r w:rsidRPr="00D5038D">
        <w:rPr>
          <w:rFonts w:eastAsia="Arial" w:cs="Arial"/>
          <w:sz w:val="22"/>
        </w:rPr>
        <w:t xml:space="preserve">2016, (Plano Diretor), nos termos do § 1º, do artigo 6º, da Lei </w:t>
      </w:r>
      <w:r w:rsidRPr="00D5038D">
        <w:rPr>
          <w:rFonts w:cs="Arial"/>
          <w:sz w:val="22"/>
        </w:rPr>
        <w:t>nº. 1.848,</w:t>
      </w:r>
      <w:r w:rsidRPr="00D5038D">
        <w:rPr>
          <w:rFonts w:cs="Arial"/>
          <w:spacing w:val="-5"/>
          <w:sz w:val="22"/>
        </w:rPr>
        <w:t xml:space="preserve"> de 1998</w:t>
      </w:r>
      <w:r w:rsidRPr="00D5038D">
        <w:rPr>
          <w:rFonts w:cs="Arial"/>
          <w:sz w:val="22"/>
        </w:rPr>
        <w:t>.</w:t>
      </w:r>
    </w:p>
    <w:p w:rsidR="0052107A" w:rsidRPr="00D5038D" w:rsidRDefault="0052107A" w:rsidP="0052107A">
      <w:pPr>
        <w:ind w:firstLine="709"/>
        <w:rPr>
          <w:rFonts w:cs="Arial"/>
          <w:sz w:val="22"/>
        </w:rPr>
      </w:pPr>
    </w:p>
    <w:p w:rsidR="0052107A" w:rsidRPr="00D5038D" w:rsidRDefault="0052107A" w:rsidP="0052107A">
      <w:pPr>
        <w:pStyle w:val="Standard"/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D5038D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§ 1º</w:t>
      </w:r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.</w:t>
      </w:r>
      <w:r w:rsidRPr="00D5038D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Em qualquer situação, a regularização será precedida de visita técnica realizada pelos servidores municipais competentes, bem como através de documentos comprobatórios, especialmente se de fato consolidado até a publicação da Lei Complementar nº </w:t>
      </w:r>
      <w:r w:rsidRPr="00D5038D">
        <w:rPr>
          <w:rFonts w:ascii="Verdana" w:eastAsia="Times New Roman" w:hAnsi="Verdana" w:cs="Times New Roman"/>
          <w:sz w:val="22"/>
          <w:szCs w:val="22"/>
          <w:lang w:eastAsia="pt-BR"/>
        </w:rPr>
        <w:t>80</w:t>
      </w:r>
      <w:r>
        <w:rPr>
          <w:rFonts w:ascii="Verdana" w:eastAsia="Times New Roman" w:hAnsi="Verdana" w:cs="Times New Roman"/>
          <w:sz w:val="22"/>
          <w:szCs w:val="22"/>
          <w:lang w:eastAsia="pt-BR"/>
        </w:rPr>
        <w:t xml:space="preserve">, de </w:t>
      </w:r>
      <w:r w:rsidRPr="00D5038D">
        <w:rPr>
          <w:rFonts w:ascii="Verdana" w:eastAsia="Times New Roman" w:hAnsi="Verdana" w:cs="Times New Roman"/>
          <w:sz w:val="22"/>
          <w:szCs w:val="22"/>
          <w:lang w:eastAsia="pt-BR"/>
        </w:rPr>
        <w:t>2016</w:t>
      </w:r>
      <w:r w:rsidRPr="00D5038D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– Plano Diretor.</w:t>
      </w:r>
    </w:p>
    <w:p w:rsidR="0052107A" w:rsidRPr="00D5038D" w:rsidRDefault="0052107A" w:rsidP="0052107A">
      <w:pPr>
        <w:tabs>
          <w:tab w:val="left" w:pos="0"/>
        </w:tabs>
        <w:ind w:firstLine="709"/>
        <w:contextualSpacing/>
        <w:rPr>
          <w:rFonts w:cs="Arial"/>
          <w:bCs/>
          <w:sz w:val="22"/>
        </w:rPr>
      </w:pPr>
    </w:p>
    <w:p w:rsidR="0052107A" w:rsidRPr="00D5038D" w:rsidRDefault="0052107A" w:rsidP="0052107A">
      <w:pPr>
        <w:tabs>
          <w:tab w:val="left" w:pos="0"/>
        </w:tabs>
        <w:ind w:firstLine="709"/>
        <w:contextualSpacing/>
        <w:rPr>
          <w:rFonts w:eastAsia="Times New Roman" w:cs="Times New Roman"/>
          <w:sz w:val="22"/>
          <w:lang w:eastAsia="pt-BR"/>
        </w:rPr>
      </w:pPr>
      <w:r w:rsidRPr="00D5038D">
        <w:rPr>
          <w:rFonts w:cs="Arial"/>
          <w:b/>
          <w:sz w:val="22"/>
        </w:rPr>
        <w:t>§ 2º</w:t>
      </w:r>
      <w:r>
        <w:rPr>
          <w:rFonts w:cs="Arial"/>
          <w:b/>
          <w:sz w:val="22"/>
        </w:rPr>
        <w:t xml:space="preserve">. </w:t>
      </w:r>
      <w:r w:rsidRPr="00D5038D">
        <w:rPr>
          <w:rFonts w:cs="Arial"/>
          <w:sz w:val="22"/>
        </w:rPr>
        <w:t xml:space="preserve">Os parcelamentos futuros obrigatoriamente devem obedecer aos parâmetros do Anexo 5, da </w:t>
      </w:r>
      <w:r w:rsidRPr="00D5038D">
        <w:rPr>
          <w:rFonts w:eastAsia="Times New Roman" w:cs="Times New Roman"/>
          <w:color w:val="000000"/>
          <w:sz w:val="22"/>
          <w:lang w:eastAsia="pt-BR"/>
        </w:rPr>
        <w:t xml:space="preserve">Lei Complementar nº </w:t>
      </w:r>
      <w:r w:rsidRPr="00D5038D">
        <w:rPr>
          <w:rFonts w:eastAsia="Times New Roman" w:cs="Times New Roman"/>
          <w:sz w:val="22"/>
          <w:lang w:eastAsia="pt-BR"/>
        </w:rPr>
        <w:t>80</w:t>
      </w:r>
      <w:r>
        <w:rPr>
          <w:rFonts w:eastAsia="Times New Roman" w:cs="Times New Roman"/>
          <w:sz w:val="22"/>
          <w:lang w:eastAsia="pt-BR"/>
        </w:rPr>
        <w:t xml:space="preserve">, de </w:t>
      </w:r>
      <w:r w:rsidRPr="00D5038D">
        <w:rPr>
          <w:rFonts w:eastAsia="Times New Roman" w:cs="Times New Roman"/>
          <w:sz w:val="22"/>
          <w:lang w:eastAsia="pt-BR"/>
        </w:rPr>
        <w:t>2016.</w:t>
      </w:r>
    </w:p>
    <w:p w:rsidR="0052107A" w:rsidRPr="00D5038D" w:rsidRDefault="0052107A" w:rsidP="0052107A">
      <w:pPr>
        <w:tabs>
          <w:tab w:val="left" w:pos="0"/>
        </w:tabs>
        <w:ind w:firstLine="709"/>
        <w:contextualSpacing/>
        <w:rPr>
          <w:rFonts w:eastAsia="Times New Roman" w:cs="Times New Roman"/>
          <w:sz w:val="22"/>
          <w:lang w:eastAsia="pt-BR"/>
        </w:rPr>
      </w:pPr>
    </w:p>
    <w:p w:rsidR="0052107A" w:rsidRDefault="0052107A" w:rsidP="0052107A">
      <w:pPr>
        <w:autoSpaceDE w:val="0"/>
        <w:autoSpaceDN w:val="0"/>
        <w:adjustRightInd w:val="0"/>
        <w:ind w:firstLine="709"/>
        <w:rPr>
          <w:sz w:val="22"/>
          <w:lang w:eastAsia="pt-BR"/>
        </w:rPr>
      </w:pPr>
      <w:r w:rsidRPr="00D5038D">
        <w:rPr>
          <w:rFonts w:cs="Arial"/>
          <w:b/>
          <w:sz w:val="22"/>
        </w:rPr>
        <w:t>Art.</w:t>
      </w:r>
      <w:r>
        <w:rPr>
          <w:rFonts w:cs="Arial"/>
          <w:b/>
          <w:sz w:val="22"/>
        </w:rPr>
        <w:t xml:space="preserve"> </w:t>
      </w:r>
      <w:r w:rsidRPr="00D5038D">
        <w:rPr>
          <w:rFonts w:cs="Arial"/>
          <w:b/>
          <w:sz w:val="22"/>
        </w:rPr>
        <w:t xml:space="preserve">8º. </w:t>
      </w:r>
      <w:r w:rsidRPr="00D5038D">
        <w:rPr>
          <w:sz w:val="22"/>
          <w:lang w:eastAsia="pt-BR"/>
        </w:rPr>
        <w:t>Esta lei poderá ser regulamentada pelo Poder Executivo Municipal, no que couber.</w:t>
      </w:r>
    </w:p>
    <w:p w:rsidR="0052107A" w:rsidRPr="00D5038D" w:rsidRDefault="0052107A" w:rsidP="0052107A">
      <w:pPr>
        <w:autoSpaceDE w:val="0"/>
        <w:autoSpaceDN w:val="0"/>
        <w:adjustRightInd w:val="0"/>
        <w:ind w:firstLine="709"/>
        <w:rPr>
          <w:sz w:val="22"/>
          <w:lang w:eastAsia="pt-BR"/>
        </w:rPr>
      </w:pPr>
    </w:p>
    <w:p w:rsidR="0052107A" w:rsidRPr="00D5038D" w:rsidRDefault="0052107A" w:rsidP="0052107A">
      <w:pPr>
        <w:ind w:firstLine="709"/>
        <w:rPr>
          <w:rFonts w:eastAsia="Verdana" w:cs="Verdana"/>
          <w:sz w:val="22"/>
        </w:rPr>
      </w:pPr>
      <w:r w:rsidRPr="00D5038D">
        <w:rPr>
          <w:rFonts w:eastAsia="Verdana" w:cs="Verdana"/>
          <w:b/>
          <w:sz w:val="22"/>
        </w:rPr>
        <w:t>Art.</w:t>
      </w:r>
      <w:r>
        <w:rPr>
          <w:rFonts w:eastAsia="Verdana" w:cs="Verdana"/>
          <w:b/>
          <w:sz w:val="22"/>
        </w:rPr>
        <w:t xml:space="preserve"> </w:t>
      </w:r>
      <w:r w:rsidRPr="00D5038D">
        <w:rPr>
          <w:rFonts w:eastAsia="Verdana" w:cs="Verdana"/>
          <w:b/>
          <w:sz w:val="22"/>
        </w:rPr>
        <w:t xml:space="preserve">9º. </w:t>
      </w:r>
      <w:r w:rsidRPr="00D5038D">
        <w:rPr>
          <w:rFonts w:eastAsia="Verdana" w:cs="Verdana"/>
          <w:sz w:val="22"/>
        </w:rPr>
        <w:t>As despesas decorrentes da execução desta lei correrão por conta das dotações orçamentárias próprias, suplementadas, se necessário.</w:t>
      </w:r>
    </w:p>
    <w:p w:rsidR="0052107A" w:rsidRPr="00D5038D" w:rsidRDefault="0052107A" w:rsidP="0052107A">
      <w:pPr>
        <w:autoSpaceDE w:val="0"/>
        <w:autoSpaceDN w:val="0"/>
        <w:adjustRightInd w:val="0"/>
        <w:ind w:firstLine="709"/>
        <w:rPr>
          <w:sz w:val="22"/>
          <w:lang w:eastAsia="pt-BR"/>
        </w:rPr>
      </w:pPr>
    </w:p>
    <w:p w:rsidR="0052107A" w:rsidRPr="00D5038D" w:rsidRDefault="0052107A" w:rsidP="0052107A">
      <w:pPr>
        <w:ind w:firstLine="709"/>
        <w:rPr>
          <w:rFonts w:cs="Arial"/>
          <w:sz w:val="22"/>
        </w:rPr>
      </w:pPr>
      <w:r w:rsidRPr="00D5038D">
        <w:rPr>
          <w:rFonts w:cs="Arial"/>
          <w:b/>
          <w:sz w:val="22"/>
        </w:rPr>
        <w:t>Art. 10.</w:t>
      </w:r>
      <w:r w:rsidRPr="00D5038D">
        <w:rPr>
          <w:rFonts w:cs="Arial"/>
          <w:sz w:val="22"/>
        </w:rPr>
        <w:t xml:space="preserve"> Esta Lei entra em vigor na data de sua publicação.</w:t>
      </w:r>
    </w:p>
    <w:p w:rsidR="0052107A" w:rsidRDefault="0052107A" w:rsidP="0052107A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52107A" w:rsidRPr="0078297B" w:rsidRDefault="0052107A" w:rsidP="0052107A">
      <w:pPr>
        <w:tabs>
          <w:tab w:val="left" w:pos="0"/>
        </w:tabs>
        <w:spacing w:line="360" w:lineRule="auto"/>
        <w:jc w:val="center"/>
        <w:rPr>
          <w:sz w:val="22"/>
        </w:rPr>
      </w:pPr>
      <w:r w:rsidRPr="0078297B">
        <w:rPr>
          <w:sz w:val="22"/>
        </w:rPr>
        <w:t>Carmo do Cajuru, 2</w:t>
      </w:r>
      <w:r>
        <w:rPr>
          <w:sz w:val="22"/>
        </w:rPr>
        <w:t>0</w:t>
      </w:r>
      <w:r w:rsidRPr="0078297B">
        <w:rPr>
          <w:sz w:val="22"/>
        </w:rPr>
        <w:t xml:space="preserve"> de </w:t>
      </w:r>
      <w:r>
        <w:rPr>
          <w:sz w:val="22"/>
        </w:rPr>
        <w:t>fevereiro</w:t>
      </w:r>
      <w:r w:rsidRPr="0078297B">
        <w:rPr>
          <w:sz w:val="22"/>
        </w:rPr>
        <w:t xml:space="preserve"> de 201</w:t>
      </w:r>
      <w:r>
        <w:rPr>
          <w:sz w:val="22"/>
        </w:rPr>
        <w:t>9</w:t>
      </w:r>
      <w:r w:rsidRPr="0078297B">
        <w:rPr>
          <w:sz w:val="22"/>
        </w:rPr>
        <w:t>.</w:t>
      </w:r>
    </w:p>
    <w:p w:rsidR="0052107A" w:rsidRDefault="0052107A" w:rsidP="0052107A">
      <w:pPr>
        <w:tabs>
          <w:tab w:val="left" w:pos="0"/>
        </w:tabs>
        <w:spacing w:line="360" w:lineRule="auto"/>
        <w:jc w:val="center"/>
        <w:rPr>
          <w:sz w:val="22"/>
        </w:rPr>
      </w:pPr>
    </w:p>
    <w:p w:rsidR="00854B01" w:rsidRDefault="00854B01" w:rsidP="00854B01">
      <w:pPr>
        <w:pStyle w:val="western"/>
        <w:spacing w:before="0" w:beforeAutospacing="0" w:after="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854B01" w:rsidRPr="00CE4934" w:rsidRDefault="00854B01" w:rsidP="00854B01">
      <w:pPr>
        <w:pStyle w:val="western"/>
        <w:spacing w:before="0" w:beforeAutospacing="0" w:after="0"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p w:rsidR="009C5BD1" w:rsidRDefault="00376E6C"/>
    <w:sectPr w:rsidR="009C5BD1" w:rsidSect="00662D53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compat/>
  <w:rsids>
    <w:rsidRoot w:val="00A47196"/>
    <w:rsid w:val="002D765F"/>
    <w:rsid w:val="00340F8B"/>
    <w:rsid w:val="00376E6C"/>
    <w:rsid w:val="0052107A"/>
    <w:rsid w:val="005C36CA"/>
    <w:rsid w:val="0065033E"/>
    <w:rsid w:val="00662D53"/>
    <w:rsid w:val="00854B01"/>
    <w:rsid w:val="009D1E8D"/>
    <w:rsid w:val="00A47196"/>
    <w:rsid w:val="00D3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96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7196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A47196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Corpodetextorecuado">
    <w:name w:val="Corpo de texto recuado"/>
    <w:basedOn w:val="Normal"/>
    <w:rsid w:val="0052107A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customStyle="1" w:styleId="Standard">
    <w:name w:val="Standard"/>
    <w:qFormat/>
    <w:rsid w:val="0052107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uiPriority w:val="99"/>
    <w:rsid w:val="00854B01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Carmo do Cajuru</dc:creator>
  <cp:lastModifiedBy>Carmo do Cajuru</cp:lastModifiedBy>
  <cp:revision>3</cp:revision>
  <dcterms:created xsi:type="dcterms:W3CDTF">2019-02-20T19:10:00Z</dcterms:created>
  <dcterms:modified xsi:type="dcterms:W3CDTF">2019-02-20T19:35:00Z</dcterms:modified>
</cp:coreProperties>
</file>