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F173" w14:textId="77777777" w:rsidR="00F3768D" w:rsidRDefault="00064547">
      <w:pPr>
        <w:pStyle w:val="Ttulo7"/>
        <w:pBdr>
          <w:left w:val="single" w:sz="4" w:space="0" w:color="00000A"/>
          <w:right w:val="single" w:sz="4" w:space="0" w:color="00000A"/>
        </w:pBdr>
      </w:pPr>
      <w:r>
        <w:rPr>
          <w:szCs w:val="40"/>
        </w:rPr>
        <w:t xml:space="preserve">PROJETO DE LEI COMPLEMENTAR </w:t>
      </w:r>
      <w:proofErr w:type="spellStart"/>
      <w:r>
        <w:rPr>
          <w:szCs w:val="40"/>
        </w:rPr>
        <w:t>N°</w:t>
      </w:r>
      <w:proofErr w:type="spellEnd"/>
      <w:r>
        <w:rPr>
          <w:szCs w:val="40"/>
        </w:rPr>
        <w:t>___/2020</w:t>
      </w:r>
    </w:p>
    <w:p w14:paraId="0761B80D" w14:textId="77777777" w:rsidR="00F3768D" w:rsidRDefault="00F3768D">
      <w:pPr>
        <w:pStyle w:val="Corpodetextorecuado"/>
        <w:ind w:left="5928" w:firstLine="0"/>
        <w:jc w:val="both"/>
        <w:rPr>
          <w:b/>
          <w:bCs/>
          <w:sz w:val="24"/>
          <w:szCs w:val="24"/>
        </w:rPr>
      </w:pPr>
    </w:p>
    <w:p w14:paraId="4ADE7415" w14:textId="77777777" w:rsidR="00F3768D" w:rsidRDefault="00064547">
      <w:pPr>
        <w:pStyle w:val="Corpodetextorecuado"/>
        <w:spacing w:line="240" w:lineRule="auto"/>
        <w:ind w:left="4536" w:firstLine="0"/>
        <w:jc w:val="both"/>
      </w:pPr>
      <w:r>
        <w:rPr>
          <w:b/>
          <w:bCs/>
          <w:sz w:val="22"/>
          <w:szCs w:val="22"/>
        </w:rPr>
        <w:t>“</w:t>
      </w:r>
      <w:r>
        <w:rPr>
          <w:rFonts w:cs="Open Sans"/>
          <w:b/>
          <w:color w:val="222222"/>
          <w:sz w:val="22"/>
          <w:szCs w:val="22"/>
          <w:shd w:val="clear" w:color="auto" w:fill="FFFFFF"/>
        </w:rPr>
        <w:t>Altera e acrescenta dispositivos à Lei Complementar nº 31/2010 de 15 de janeiro de 2010 – Código Tributário Municipal, e dá outras providências”</w:t>
      </w:r>
      <w:r>
        <w:rPr>
          <w:b/>
          <w:bCs/>
          <w:sz w:val="22"/>
          <w:szCs w:val="22"/>
        </w:rPr>
        <w:t>.</w:t>
      </w:r>
    </w:p>
    <w:p w14:paraId="53182DA8" w14:textId="77777777" w:rsidR="00F3768D" w:rsidRDefault="00F3768D">
      <w:pPr>
        <w:pStyle w:val="Corpodetextorecuado"/>
        <w:jc w:val="both"/>
        <w:rPr>
          <w:b/>
          <w:bCs/>
          <w:sz w:val="20"/>
        </w:rPr>
      </w:pPr>
    </w:p>
    <w:p w14:paraId="619C72AD" w14:textId="77777777" w:rsidR="00F3768D" w:rsidRDefault="00F3768D">
      <w:pPr>
        <w:pStyle w:val="Corpodetextorecuado"/>
        <w:jc w:val="both"/>
        <w:rPr>
          <w:b/>
          <w:bCs/>
          <w:sz w:val="20"/>
        </w:rPr>
      </w:pPr>
    </w:p>
    <w:p w14:paraId="49E83F39" w14:textId="77777777" w:rsidR="00F3768D" w:rsidRDefault="00064547">
      <w:pPr>
        <w:pStyle w:val="Corpodetextorecuado"/>
        <w:jc w:val="both"/>
        <w:rPr>
          <w:iCs/>
          <w:sz w:val="22"/>
          <w:szCs w:val="22"/>
        </w:rPr>
      </w:pPr>
      <w:r>
        <w:rPr>
          <w:i/>
          <w:iCs/>
          <w:sz w:val="22"/>
          <w:szCs w:val="22"/>
        </w:rPr>
        <w:t xml:space="preserve">O Prefeito do Município de Carmo do Cajuru, Estado de Minas </w:t>
      </w:r>
      <w:r>
        <w:rPr>
          <w:i/>
          <w:iCs/>
          <w:sz w:val="22"/>
          <w:szCs w:val="22"/>
        </w:rPr>
        <w:t xml:space="preserve">Gerais, no uso de suas atribuições legais, consoante o disposto no inciso IV do </w:t>
      </w:r>
      <w:proofErr w:type="spellStart"/>
      <w:r>
        <w:rPr>
          <w:i/>
          <w:iCs/>
          <w:sz w:val="22"/>
          <w:szCs w:val="22"/>
        </w:rPr>
        <w:t>art.65</w:t>
      </w:r>
      <w:proofErr w:type="spellEnd"/>
      <w:r>
        <w:rPr>
          <w:i/>
          <w:iCs/>
          <w:sz w:val="22"/>
          <w:szCs w:val="22"/>
        </w:rPr>
        <w:t xml:space="preserve"> da Lei Orgânica Municipal, apresenta o seguinte Projeto de Lei:</w:t>
      </w:r>
    </w:p>
    <w:p w14:paraId="6DCE4885" w14:textId="77777777" w:rsidR="00F3768D" w:rsidRDefault="00F3768D">
      <w:pPr>
        <w:pStyle w:val="Corpodetextorecuado"/>
        <w:jc w:val="both"/>
        <w:rPr>
          <w:sz w:val="22"/>
          <w:szCs w:val="22"/>
        </w:rPr>
      </w:pPr>
    </w:p>
    <w:p w14:paraId="1DC0F5DA" w14:textId="77777777" w:rsidR="00F3768D" w:rsidRDefault="00F3768D">
      <w:pPr>
        <w:pStyle w:val="Corpodetextorecuado"/>
        <w:jc w:val="both"/>
        <w:rPr>
          <w:sz w:val="22"/>
          <w:szCs w:val="22"/>
        </w:rPr>
      </w:pPr>
    </w:p>
    <w:p w14:paraId="0EA47674" w14:textId="61BB844F" w:rsidR="00F3768D" w:rsidRDefault="00064547">
      <w:pPr>
        <w:pStyle w:val="Corpodetextorecuado"/>
        <w:jc w:val="both"/>
        <w:rPr>
          <w:sz w:val="22"/>
          <w:szCs w:val="22"/>
        </w:rPr>
      </w:pPr>
      <w:r>
        <w:rPr>
          <w:rFonts w:cs="Arial"/>
          <w:b/>
          <w:sz w:val="22"/>
          <w:szCs w:val="22"/>
        </w:rPr>
        <w:t>Art. 1º.</w:t>
      </w:r>
      <w:r>
        <w:rPr>
          <w:rFonts w:cs="Arial"/>
          <w:sz w:val="22"/>
          <w:szCs w:val="22"/>
        </w:rPr>
        <w:t xml:space="preserve"> Esta lei altera e acrescenta dispositivos à Lei Complementar nº 31/2010, de 15 de janeiro de </w:t>
      </w:r>
      <w:r>
        <w:rPr>
          <w:rFonts w:cs="Arial"/>
          <w:sz w:val="22"/>
          <w:szCs w:val="22"/>
        </w:rPr>
        <w:t>2010, que instituiu o Código Tributário Municipal.</w:t>
      </w:r>
    </w:p>
    <w:p w14:paraId="5660F3D7" w14:textId="77777777" w:rsidR="00F3768D" w:rsidRDefault="00F3768D">
      <w:pPr>
        <w:pStyle w:val="Corpodetextorecuado"/>
        <w:jc w:val="both"/>
        <w:rPr>
          <w:rFonts w:cs="Arial"/>
          <w:sz w:val="22"/>
          <w:szCs w:val="22"/>
        </w:rPr>
      </w:pPr>
    </w:p>
    <w:p w14:paraId="607765AE" w14:textId="3A32F7D0" w:rsidR="00F3768D" w:rsidRDefault="00064547">
      <w:pPr>
        <w:pStyle w:val="Corpodetextorecuado"/>
        <w:jc w:val="both"/>
        <w:rPr>
          <w:sz w:val="22"/>
          <w:szCs w:val="22"/>
        </w:rPr>
      </w:pPr>
      <w:r>
        <w:rPr>
          <w:rFonts w:cs="Arial"/>
          <w:b/>
          <w:bCs/>
          <w:sz w:val="22"/>
          <w:szCs w:val="22"/>
        </w:rPr>
        <w:t>Art. 2º.</w:t>
      </w:r>
      <w:r>
        <w:rPr>
          <w:rFonts w:cs="Arial"/>
          <w:sz w:val="22"/>
          <w:szCs w:val="22"/>
        </w:rPr>
        <w:t xml:space="preserve"> O art. 77 da Lei Complementar 31/2010, de 15 de janeiro de 2010, passa a vigorar com a seguinte redação:</w:t>
      </w:r>
    </w:p>
    <w:p w14:paraId="5F84B799" w14:textId="77777777" w:rsidR="00F3768D" w:rsidRDefault="00F3768D">
      <w:pPr>
        <w:pStyle w:val="Corpodetextorecuado"/>
        <w:jc w:val="both"/>
        <w:rPr>
          <w:sz w:val="22"/>
          <w:szCs w:val="22"/>
        </w:rPr>
      </w:pPr>
    </w:p>
    <w:p w14:paraId="01845E4C" w14:textId="77777777" w:rsidR="00F3768D" w:rsidRDefault="00064547">
      <w:pPr>
        <w:pStyle w:val="Corpodetextorecuado"/>
        <w:jc w:val="both"/>
        <w:rPr>
          <w:sz w:val="22"/>
          <w:szCs w:val="22"/>
        </w:rPr>
      </w:pPr>
      <w:r>
        <w:rPr>
          <w:rFonts w:eastAsia="Arial Unicode MS" w:cs="Arial"/>
          <w:color w:val="000000"/>
          <w:sz w:val="22"/>
          <w:szCs w:val="22"/>
        </w:rPr>
        <w:t>“</w:t>
      </w:r>
      <w:r>
        <w:rPr>
          <w:rFonts w:cs="Arial"/>
          <w:b/>
          <w:bCs/>
          <w:color w:val="000000"/>
          <w:sz w:val="22"/>
          <w:szCs w:val="22"/>
        </w:rPr>
        <w:t>Art. 77.</w:t>
      </w:r>
      <w:r>
        <w:rPr>
          <w:rFonts w:cs="Arial"/>
          <w:color w:val="000000"/>
          <w:sz w:val="22"/>
          <w:szCs w:val="22"/>
        </w:rPr>
        <w:t xml:space="preserve"> Os créditos tributários e fiscais inscritos em dívida ativa, e os denunciados </w:t>
      </w:r>
      <w:r>
        <w:rPr>
          <w:rFonts w:cs="Arial"/>
          <w:color w:val="000000"/>
          <w:sz w:val="22"/>
          <w:szCs w:val="22"/>
        </w:rPr>
        <w:t>espontaneamente pelo contribuinte, ajuizados ou não, poderão ser parcelados em até 24</w:t>
      </w:r>
      <w:r>
        <w:rPr>
          <w:rFonts w:cs="Arial"/>
          <w:color w:val="000000"/>
          <w:sz w:val="22"/>
          <w:szCs w:val="22"/>
        </w:rPr>
        <w:t xml:space="preserve"> (vinte e quatro)</w:t>
      </w:r>
      <w:r>
        <w:rPr>
          <w:rFonts w:cs="Arial"/>
          <w:color w:val="000000"/>
          <w:sz w:val="22"/>
          <w:szCs w:val="22"/>
        </w:rPr>
        <w:t xml:space="preserve"> parcelas mensais e consecutivas, nunca inferiores a </w:t>
      </w:r>
      <w:r>
        <w:rPr>
          <w:rFonts w:cs="Arial"/>
          <w:color w:val="000000"/>
          <w:sz w:val="22"/>
          <w:szCs w:val="22"/>
        </w:rPr>
        <w:t>R$ 70,00 (setenta reais),</w:t>
      </w:r>
      <w:r>
        <w:rPr>
          <w:rFonts w:cs="Arial"/>
          <w:color w:val="000000"/>
          <w:sz w:val="22"/>
          <w:szCs w:val="22"/>
        </w:rPr>
        <w:t xml:space="preserve"> com incidência de juros e atualização monetária nos termos estabelecidos ne</w:t>
      </w:r>
      <w:r>
        <w:rPr>
          <w:rFonts w:cs="Arial"/>
          <w:color w:val="000000"/>
          <w:sz w:val="22"/>
          <w:szCs w:val="22"/>
        </w:rPr>
        <w:t>sta Lei.</w:t>
      </w:r>
    </w:p>
    <w:p w14:paraId="4E224ACC" w14:textId="77777777" w:rsidR="00F3768D" w:rsidRDefault="00F3768D">
      <w:pPr>
        <w:pStyle w:val="Corpodetextorecuado"/>
        <w:jc w:val="both"/>
        <w:rPr>
          <w:rFonts w:cs="Arial"/>
          <w:color w:val="000000"/>
          <w:sz w:val="22"/>
          <w:szCs w:val="22"/>
        </w:rPr>
      </w:pPr>
    </w:p>
    <w:p w14:paraId="149C4F00" w14:textId="77777777" w:rsidR="00F3768D" w:rsidRDefault="00064547">
      <w:pPr>
        <w:pStyle w:val="Corpodetextorecuado"/>
        <w:jc w:val="both"/>
        <w:rPr>
          <w:sz w:val="22"/>
          <w:szCs w:val="22"/>
        </w:rPr>
      </w:pPr>
      <w:r>
        <w:rPr>
          <w:rFonts w:cs="Arial"/>
          <w:b/>
          <w:bCs/>
          <w:color w:val="000000"/>
          <w:sz w:val="22"/>
          <w:szCs w:val="22"/>
        </w:rPr>
        <w:t>Parágrafo único.</w:t>
      </w:r>
      <w:r>
        <w:rPr>
          <w:rFonts w:cs="Arial"/>
          <w:color w:val="000000"/>
          <w:sz w:val="22"/>
          <w:szCs w:val="22"/>
        </w:rPr>
        <w:t xml:space="preserve"> As parcelas mensais e consecutivas de que trata o 'caput' serão de, no mínimo, R$ 40,00 (quarenta reais) quando se tratar de parcelamento de débitos tarifários junto às autarquias municipais.”</w:t>
      </w:r>
    </w:p>
    <w:p w14:paraId="4B8F7E9A" w14:textId="77777777" w:rsidR="00F3768D" w:rsidRDefault="00F3768D">
      <w:pPr>
        <w:pStyle w:val="Corpodetextorecuado"/>
        <w:jc w:val="both"/>
        <w:rPr>
          <w:rFonts w:cs="Arial"/>
          <w:sz w:val="22"/>
          <w:szCs w:val="22"/>
        </w:rPr>
      </w:pPr>
    </w:p>
    <w:p w14:paraId="5AF8BE59" w14:textId="7C38358A" w:rsidR="00F3768D" w:rsidRDefault="00064547">
      <w:pPr>
        <w:pStyle w:val="Corpodetextorecuado"/>
        <w:jc w:val="both"/>
        <w:rPr>
          <w:sz w:val="22"/>
          <w:szCs w:val="22"/>
        </w:rPr>
      </w:pPr>
      <w:r>
        <w:rPr>
          <w:rFonts w:eastAsiaTheme="minorHAnsi" w:cs="Arial"/>
          <w:b/>
          <w:bCs/>
          <w:sz w:val="22"/>
          <w:szCs w:val="22"/>
        </w:rPr>
        <w:lastRenderedPageBreak/>
        <w:t>Art. 3º.</w:t>
      </w:r>
      <w:r>
        <w:rPr>
          <w:rFonts w:eastAsiaTheme="minorHAnsi" w:cs="Arial"/>
          <w:sz w:val="22"/>
          <w:szCs w:val="22"/>
        </w:rPr>
        <w:t xml:space="preserve"> O artigo 140 da Lei Complementar 31/2010, de 15 de janeiro de 2010, passa a vigorar com a seguinte redação:</w:t>
      </w:r>
    </w:p>
    <w:p w14:paraId="13AB4576" w14:textId="77777777" w:rsidR="00F3768D" w:rsidRDefault="00F3768D">
      <w:pPr>
        <w:pStyle w:val="Corpodetextorecuado"/>
        <w:jc w:val="both"/>
        <w:rPr>
          <w:rFonts w:eastAsiaTheme="minorHAnsi" w:cs="Arial"/>
          <w:sz w:val="22"/>
          <w:szCs w:val="22"/>
        </w:rPr>
      </w:pPr>
    </w:p>
    <w:p w14:paraId="2C946D46" w14:textId="1D300210" w:rsidR="00F3768D" w:rsidRDefault="00064547">
      <w:pPr>
        <w:pStyle w:val="Corpodetextorecuado"/>
        <w:jc w:val="both"/>
        <w:rPr>
          <w:sz w:val="22"/>
          <w:szCs w:val="22"/>
        </w:rPr>
      </w:pPr>
      <w:r>
        <w:rPr>
          <w:rFonts w:eastAsiaTheme="minorHAnsi" w:cs="Arial"/>
          <w:sz w:val="22"/>
          <w:szCs w:val="22"/>
        </w:rPr>
        <w:t>“</w:t>
      </w:r>
      <w:r>
        <w:rPr>
          <w:rFonts w:eastAsiaTheme="minorHAnsi" w:cs="Arial"/>
          <w:b/>
          <w:bCs/>
          <w:sz w:val="22"/>
          <w:szCs w:val="22"/>
        </w:rPr>
        <w:t>Art. 140.</w:t>
      </w:r>
      <w:r>
        <w:rPr>
          <w:rFonts w:eastAsiaTheme="minorHAnsi" w:cs="Arial"/>
          <w:sz w:val="22"/>
          <w:szCs w:val="22"/>
        </w:rPr>
        <w:t xml:space="preserve"> …………………………………………………………………………………………………..</w:t>
      </w:r>
    </w:p>
    <w:p w14:paraId="5530F31D" w14:textId="77777777" w:rsidR="00F3768D" w:rsidRDefault="00F3768D">
      <w:pPr>
        <w:pStyle w:val="Corpodetextorecuado"/>
        <w:jc w:val="both"/>
        <w:rPr>
          <w:rFonts w:eastAsiaTheme="minorHAnsi" w:cs="Arial"/>
          <w:sz w:val="22"/>
          <w:szCs w:val="22"/>
        </w:rPr>
      </w:pPr>
    </w:p>
    <w:p w14:paraId="51EB93D3" w14:textId="77777777" w:rsidR="00F3768D" w:rsidRDefault="00064547">
      <w:pPr>
        <w:pStyle w:val="Corpodetextorecuado"/>
        <w:jc w:val="both"/>
        <w:rPr>
          <w:sz w:val="22"/>
          <w:szCs w:val="22"/>
        </w:rPr>
      </w:pPr>
      <w:r>
        <w:rPr>
          <w:rFonts w:eastAsiaTheme="minorHAnsi" w:cs="Arial"/>
          <w:b/>
          <w:bCs/>
          <w:sz w:val="22"/>
          <w:szCs w:val="22"/>
        </w:rPr>
        <w:t>XXIII –</w:t>
      </w:r>
      <w:r>
        <w:rPr>
          <w:rFonts w:eastAsiaTheme="minorHAnsi" w:cs="Arial"/>
          <w:sz w:val="22"/>
          <w:szCs w:val="22"/>
        </w:rPr>
        <w:t xml:space="preserve"> do domicílio do tomador dos serviços descritos no subitem 15.09 da Lista de Serviço</w:t>
      </w:r>
      <w:r>
        <w:rPr>
          <w:rFonts w:eastAsiaTheme="minorHAnsi" w:cs="Arial"/>
          <w:sz w:val="22"/>
          <w:szCs w:val="22"/>
        </w:rPr>
        <w:t>s constante da Tabela I do Anexo I desta Lei.</w:t>
      </w:r>
    </w:p>
    <w:p w14:paraId="5592DBE5" w14:textId="77777777" w:rsidR="00F3768D" w:rsidRDefault="00064547">
      <w:pPr>
        <w:pStyle w:val="Corpodetextorecuado"/>
        <w:jc w:val="both"/>
        <w:rPr>
          <w:sz w:val="22"/>
          <w:szCs w:val="22"/>
        </w:rPr>
      </w:pPr>
      <w:r>
        <w:rPr>
          <w:rFonts w:eastAsiaTheme="minorHAnsi" w:cs="Arial"/>
          <w:sz w:val="22"/>
          <w:szCs w:val="22"/>
        </w:rPr>
        <w:t>…………………………………………………………………………………………………………………………</w:t>
      </w:r>
      <w:r>
        <w:rPr>
          <w:rFonts w:eastAsiaTheme="minorHAnsi" w:cs="Arial"/>
          <w:sz w:val="22"/>
          <w:szCs w:val="22"/>
        </w:rPr>
        <w:tab/>
      </w:r>
      <w:r>
        <w:rPr>
          <w:rFonts w:eastAsiaTheme="minorHAnsi" w:cs="Arial"/>
          <w:b/>
          <w:bCs/>
          <w:sz w:val="22"/>
          <w:szCs w:val="22"/>
        </w:rPr>
        <w:t>§ 6º</w:t>
      </w:r>
      <w:r>
        <w:rPr>
          <w:rFonts w:eastAsiaTheme="minorHAnsi" w:cs="Arial"/>
          <w:sz w:val="22"/>
          <w:szCs w:val="22"/>
        </w:rPr>
        <w:t xml:space="preserve"> Considera-se tomador dos serviços referidos nos incisos XXI, </w:t>
      </w:r>
      <w:proofErr w:type="spellStart"/>
      <w:r>
        <w:rPr>
          <w:rFonts w:eastAsiaTheme="minorHAnsi" w:cs="Arial"/>
          <w:sz w:val="22"/>
          <w:szCs w:val="22"/>
        </w:rPr>
        <w:t>XXII</w:t>
      </w:r>
      <w:proofErr w:type="spellEnd"/>
      <w:r>
        <w:rPr>
          <w:rFonts w:eastAsiaTheme="minorHAnsi" w:cs="Arial"/>
          <w:sz w:val="22"/>
          <w:szCs w:val="22"/>
        </w:rPr>
        <w:t xml:space="preserve"> e XXIII do caput deste artigo o contratante do serviço e, no caso de negócio jurídico que en</w:t>
      </w:r>
      <w:r>
        <w:rPr>
          <w:rFonts w:eastAsiaTheme="minorHAnsi" w:cs="Arial"/>
          <w:sz w:val="22"/>
          <w:szCs w:val="22"/>
        </w:rPr>
        <w:t>volva estipulação em favor de unidade da pessoa jurídica contratante, a unidade em favor da qual o serviço foi estipulado, sendo irrelevantes para caracterizá-la as denominações de sede, filial, agência, posto de atendimento, sucursal, escritório de repres</w:t>
      </w:r>
      <w:r>
        <w:rPr>
          <w:rFonts w:eastAsiaTheme="minorHAnsi" w:cs="Arial"/>
          <w:sz w:val="22"/>
          <w:szCs w:val="22"/>
        </w:rPr>
        <w:t>entação ou contato ou quaisquer outras que venham a ser utilizadas.</w:t>
      </w:r>
    </w:p>
    <w:p w14:paraId="7E0ABCA6" w14:textId="77777777" w:rsidR="00F3768D" w:rsidRDefault="00064547">
      <w:pPr>
        <w:pStyle w:val="Corpodetextorecuado"/>
        <w:jc w:val="both"/>
        <w:rPr>
          <w:sz w:val="22"/>
          <w:szCs w:val="22"/>
        </w:rPr>
      </w:pPr>
      <w:r>
        <w:rPr>
          <w:rFonts w:eastAsiaTheme="minorHAnsi" w:cs="Arial"/>
          <w:sz w:val="22"/>
          <w:szCs w:val="22"/>
        </w:rPr>
        <w:t>…………………………………………………………………………………………………………………………</w:t>
      </w:r>
      <w:r>
        <w:rPr>
          <w:rFonts w:eastAsiaTheme="minorHAnsi" w:cs="Arial"/>
          <w:sz w:val="22"/>
          <w:szCs w:val="22"/>
        </w:rPr>
        <w:tab/>
      </w:r>
      <w:r>
        <w:rPr>
          <w:rFonts w:eastAsiaTheme="minorHAnsi" w:cs="Arial"/>
          <w:b/>
          <w:bCs/>
          <w:sz w:val="22"/>
          <w:szCs w:val="22"/>
        </w:rPr>
        <w:t>§ 9º</w:t>
      </w:r>
      <w:r>
        <w:rPr>
          <w:rFonts w:eastAsiaTheme="minorHAnsi" w:cs="Arial"/>
          <w:sz w:val="22"/>
          <w:szCs w:val="22"/>
        </w:rPr>
        <w:t xml:space="preserve"> No caso dos serviços de planos de saúde ou de medicina e congêneres, referidos nos subitens 4.22 e 4.23 da lista de serviços anexa a est</w:t>
      </w:r>
      <w:r>
        <w:rPr>
          <w:rFonts w:eastAsiaTheme="minorHAnsi" w:cs="Arial"/>
          <w:sz w:val="22"/>
          <w:szCs w:val="22"/>
        </w:rPr>
        <w:t>a Lei Complementar, o tomador do serviço é a pessoa física beneficiária vinculada à operadora por meio de convênio ou contrato de plano de saúde individual, familiar, coletivo empresarial ou coletivo por adesão.</w:t>
      </w:r>
    </w:p>
    <w:p w14:paraId="7CF4320C" w14:textId="77777777" w:rsidR="00F3768D" w:rsidRDefault="00F3768D">
      <w:pPr>
        <w:pStyle w:val="Corpodetextorecuado"/>
        <w:ind w:firstLine="0"/>
        <w:jc w:val="both"/>
        <w:rPr>
          <w:rFonts w:eastAsiaTheme="minorHAnsi" w:cs="Arial"/>
          <w:sz w:val="22"/>
          <w:szCs w:val="22"/>
        </w:rPr>
      </w:pPr>
    </w:p>
    <w:p w14:paraId="3F30FF67" w14:textId="77777777" w:rsidR="00F3768D" w:rsidRDefault="00064547">
      <w:pPr>
        <w:pStyle w:val="Corpodetextorecuado"/>
        <w:ind w:firstLine="0"/>
        <w:jc w:val="both"/>
        <w:rPr>
          <w:sz w:val="22"/>
          <w:szCs w:val="22"/>
        </w:rPr>
      </w:pPr>
      <w:r>
        <w:rPr>
          <w:rFonts w:eastAsiaTheme="minorHAnsi" w:cs="Arial"/>
          <w:sz w:val="22"/>
          <w:szCs w:val="22"/>
        </w:rPr>
        <w:tab/>
      </w:r>
      <w:r>
        <w:rPr>
          <w:rFonts w:eastAsiaTheme="minorHAnsi" w:cs="Arial"/>
          <w:b/>
          <w:bCs/>
          <w:sz w:val="22"/>
          <w:szCs w:val="22"/>
        </w:rPr>
        <w:t>§ 10</w:t>
      </w:r>
      <w:r>
        <w:rPr>
          <w:rFonts w:eastAsiaTheme="minorHAnsi" w:cs="Arial"/>
          <w:sz w:val="22"/>
          <w:szCs w:val="22"/>
        </w:rPr>
        <w:t xml:space="preserve"> Nos casos em que houver dependentes vinculados ao titular do plano, será considerado apenas o domicílio do titular para fins do disposto no § 6º deste artigo.</w:t>
      </w:r>
    </w:p>
    <w:p w14:paraId="55C2F4CC" w14:textId="77777777" w:rsidR="00F3768D" w:rsidRDefault="00F3768D">
      <w:pPr>
        <w:pStyle w:val="Corpodetextorecuado"/>
        <w:ind w:firstLine="0"/>
        <w:jc w:val="both"/>
        <w:rPr>
          <w:rFonts w:eastAsiaTheme="minorHAnsi" w:cs="Arial"/>
          <w:sz w:val="22"/>
          <w:szCs w:val="22"/>
        </w:rPr>
      </w:pPr>
    </w:p>
    <w:p w14:paraId="333622E8" w14:textId="77777777" w:rsidR="00F3768D" w:rsidRDefault="00064547">
      <w:pPr>
        <w:pStyle w:val="Corpodetextorecuado"/>
        <w:ind w:firstLine="0"/>
        <w:jc w:val="both"/>
        <w:rPr>
          <w:sz w:val="22"/>
          <w:szCs w:val="22"/>
        </w:rPr>
      </w:pPr>
      <w:r>
        <w:rPr>
          <w:rFonts w:eastAsiaTheme="minorHAnsi" w:cs="Arial"/>
          <w:sz w:val="22"/>
          <w:szCs w:val="22"/>
        </w:rPr>
        <w:tab/>
      </w:r>
      <w:r>
        <w:rPr>
          <w:rFonts w:eastAsiaTheme="minorHAnsi" w:cs="Arial"/>
          <w:b/>
          <w:bCs/>
          <w:sz w:val="22"/>
          <w:szCs w:val="22"/>
        </w:rPr>
        <w:t>§ 11</w:t>
      </w:r>
      <w:r>
        <w:rPr>
          <w:rFonts w:eastAsiaTheme="minorHAnsi" w:cs="Arial"/>
          <w:sz w:val="22"/>
          <w:szCs w:val="22"/>
        </w:rPr>
        <w:t xml:space="preserve"> No caso dos serviços de administração de cartão de crédito ou débito e congêneres, referi</w:t>
      </w:r>
      <w:r>
        <w:rPr>
          <w:rFonts w:eastAsiaTheme="minorHAnsi" w:cs="Arial"/>
          <w:sz w:val="22"/>
          <w:szCs w:val="22"/>
        </w:rPr>
        <w:t>dos no subitem 15.01 da lista de serviços anexa a esta Lei Complementar, prestados diretamente aos portadores de cartões de crédito ou débito e congêneres, o tomador é o primeiro titular do cartão.</w:t>
      </w:r>
    </w:p>
    <w:p w14:paraId="3EE5EE3B" w14:textId="77777777" w:rsidR="00F3768D" w:rsidRDefault="00F3768D">
      <w:pPr>
        <w:pStyle w:val="Corpodetextorecuado"/>
        <w:jc w:val="both"/>
        <w:rPr>
          <w:rFonts w:eastAsiaTheme="minorHAnsi" w:cs="Arial"/>
          <w:sz w:val="22"/>
          <w:szCs w:val="22"/>
        </w:rPr>
      </w:pPr>
    </w:p>
    <w:p w14:paraId="15F12002" w14:textId="77777777" w:rsidR="00F3768D" w:rsidRDefault="00064547">
      <w:pPr>
        <w:pStyle w:val="Corpodetextorecuado"/>
        <w:jc w:val="both"/>
        <w:rPr>
          <w:sz w:val="22"/>
          <w:szCs w:val="22"/>
        </w:rPr>
      </w:pPr>
      <w:r>
        <w:rPr>
          <w:rFonts w:eastAsiaTheme="minorHAnsi" w:cs="Arial"/>
          <w:b/>
          <w:bCs/>
          <w:sz w:val="22"/>
          <w:szCs w:val="22"/>
        </w:rPr>
        <w:lastRenderedPageBreak/>
        <w:t>§ 12</w:t>
      </w:r>
      <w:r>
        <w:rPr>
          <w:rFonts w:eastAsiaTheme="minorHAnsi" w:cs="Arial"/>
          <w:sz w:val="22"/>
          <w:szCs w:val="22"/>
        </w:rPr>
        <w:t xml:space="preserve"> O local do estabelecimento credenciado é considerado</w:t>
      </w:r>
      <w:r>
        <w:rPr>
          <w:rFonts w:eastAsiaTheme="minorHAnsi" w:cs="Arial"/>
          <w:sz w:val="22"/>
          <w:szCs w:val="22"/>
        </w:rPr>
        <w:t xml:space="preserve"> o domicílio do tomador dos demais serviços referidos no subitem 15.01 da lista de serviços anexa a esta Lei Complementar, relativos às transferências realizadas por meio de cartão de crédito ou débito, ou a eles conexos, que sejam prestados ao tomador, di</w:t>
      </w:r>
      <w:r>
        <w:rPr>
          <w:rFonts w:eastAsiaTheme="minorHAnsi" w:cs="Arial"/>
          <w:sz w:val="22"/>
          <w:szCs w:val="22"/>
        </w:rPr>
        <w:t>reta ou indiretamente, por:</w:t>
      </w:r>
    </w:p>
    <w:p w14:paraId="5E65A6A5" w14:textId="77777777" w:rsidR="00F3768D" w:rsidRDefault="00F3768D">
      <w:pPr>
        <w:pStyle w:val="Corpodetextorecuado"/>
        <w:jc w:val="both"/>
        <w:rPr>
          <w:rFonts w:eastAsiaTheme="minorHAnsi" w:cs="Arial"/>
          <w:sz w:val="22"/>
          <w:szCs w:val="22"/>
        </w:rPr>
      </w:pPr>
    </w:p>
    <w:p w14:paraId="7CB6F170" w14:textId="77777777" w:rsidR="00F3768D" w:rsidRDefault="00064547">
      <w:pPr>
        <w:pStyle w:val="Corpodetextorecuado"/>
        <w:jc w:val="both"/>
        <w:rPr>
          <w:sz w:val="22"/>
          <w:szCs w:val="22"/>
        </w:rPr>
      </w:pPr>
      <w:r>
        <w:rPr>
          <w:rFonts w:eastAsiaTheme="minorHAnsi" w:cs="Arial"/>
          <w:b/>
          <w:bCs/>
          <w:sz w:val="22"/>
          <w:szCs w:val="22"/>
        </w:rPr>
        <w:t>I -</w:t>
      </w:r>
      <w:r>
        <w:rPr>
          <w:rFonts w:eastAsiaTheme="minorHAnsi" w:cs="Arial"/>
          <w:sz w:val="22"/>
          <w:szCs w:val="22"/>
        </w:rPr>
        <w:t xml:space="preserve"> </w:t>
      </w:r>
      <w:proofErr w:type="gramStart"/>
      <w:r>
        <w:rPr>
          <w:rFonts w:eastAsiaTheme="minorHAnsi" w:cs="Arial"/>
          <w:sz w:val="22"/>
          <w:szCs w:val="22"/>
        </w:rPr>
        <w:t>bandeiras</w:t>
      </w:r>
      <w:proofErr w:type="gramEnd"/>
      <w:r>
        <w:rPr>
          <w:rFonts w:eastAsiaTheme="minorHAnsi" w:cs="Arial"/>
          <w:sz w:val="22"/>
          <w:szCs w:val="22"/>
        </w:rPr>
        <w:t xml:space="preserve">; </w:t>
      </w:r>
    </w:p>
    <w:p w14:paraId="11594C4D" w14:textId="77777777" w:rsidR="00F3768D" w:rsidRDefault="00064547">
      <w:pPr>
        <w:pStyle w:val="Corpodetextorecuado"/>
        <w:jc w:val="both"/>
        <w:rPr>
          <w:sz w:val="22"/>
          <w:szCs w:val="22"/>
        </w:rPr>
      </w:pPr>
      <w:r>
        <w:rPr>
          <w:rFonts w:eastAsiaTheme="minorHAnsi" w:cs="Arial"/>
          <w:b/>
          <w:bCs/>
          <w:sz w:val="22"/>
          <w:szCs w:val="22"/>
        </w:rPr>
        <w:t>II -</w:t>
      </w:r>
      <w:r>
        <w:rPr>
          <w:rFonts w:eastAsiaTheme="minorHAnsi" w:cs="Arial"/>
          <w:sz w:val="22"/>
          <w:szCs w:val="22"/>
        </w:rPr>
        <w:t xml:space="preserve"> </w:t>
      </w:r>
      <w:proofErr w:type="gramStart"/>
      <w:r>
        <w:rPr>
          <w:rFonts w:eastAsiaTheme="minorHAnsi" w:cs="Arial"/>
          <w:sz w:val="22"/>
          <w:szCs w:val="22"/>
        </w:rPr>
        <w:t>credenciadoras</w:t>
      </w:r>
      <w:proofErr w:type="gramEnd"/>
      <w:r>
        <w:rPr>
          <w:rFonts w:eastAsiaTheme="minorHAnsi" w:cs="Arial"/>
          <w:sz w:val="22"/>
          <w:szCs w:val="22"/>
        </w:rPr>
        <w:t>; ou</w:t>
      </w:r>
    </w:p>
    <w:p w14:paraId="29D0EE21" w14:textId="77777777" w:rsidR="00F3768D" w:rsidRDefault="00064547">
      <w:pPr>
        <w:pStyle w:val="Corpodetextorecuado"/>
        <w:jc w:val="both"/>
        <w:rPr>
          <w:sz w:val="22"/>
          <w:szCs w:val="22"/>
        </w:rPr>
      </w:pPr>
      <w:r>
        <w:rPr>
          <w:rFonts w:eastAsiaTheme="minorHAnsi" w:cs="Arial"/>
          <w:b/>
          <w:bCs/>
          <w:sz w:val="22"/>
          <w:szCs w:val="22"/>
        </w:rPr>
        <w:t>III -</w:t>
      </w:r>
      <w:r>
        <w:rPr>
          <w:rFonts w:eastAsiaTheme="minorHAnsi" w:cs="Arial"/>
          <w:sz w:val="22"/>
          <w:szCs w:val="22"/>
        </w:rPr>
        <w:t xml:space="preserve"> emissoras de cartões de crédito e débito.</w:t>
      </w:r>
    </w:p>
    <w:p w14:paraId="4F4C3EC1" w14:textId="77777777" w:rsidR="00F3768D" w:rsidRDefault="00F3768D">
      <w:pPr>
        <w:pStyle w:val="Corpodetextorecuado"/>
        <w:jc w:val="both"/>
        <w:rPr>
          <w:rFonts w:eastAsiaTheme="minorHAnsi" w:cs="Arial"/>
          <w:sz w:val="22"/>
          <w:szCs w:val="22"/>
        </w:rPr>
      </w:pPr>
    </w:p>
    <w:p w14:paraId="3B1058FE" w14:textId="77777777" w:rsidR="00F3768D" w:rsidRDefault="00064547">
      <w:pPr>
        <w:pStyle w:val="Corpodetextorecuado"/>
        <w:jc w:val="both"/>
        <w:rPr>
          <w:sz w:val="22"/>
          <w:szCs w:val="22"/>
        </w:rPr>
      </w:pPr>
      <w:r>
        <w:rPr>
          <w:rFonts w:eastAsiaTheme="minorHAnsi" w:cs="Arial"/>
          <w:b/>
          <w:bCs/>
          <w:sz w:val="22"/>
          <w:szCs w:val="22"/>
        </w:rPr>
        <w:t>§ 13</w:t>
      </w:r>
      <w:r>
        <w:rPr>
          <w:rFonts w:eastAsiaTheme="minorHAnsi" w:cs="Arial"/>
          <w:sz w:val="22"/>
          <w:szCs w:val="22"/>
        </w:rPr>
        <w:t xml:space="preserve"> No caso dos serviços de administração de carteira de valores mobiliários e dos serviços de administração e gestão de fundos e clubes </w:t>
      </w:r>
      <w:r>
        <w:rPr>
          <w:rFonts w:eastAsiaTheme="minorHAnsi" w:cs="Arial"/>
          <w:sz w:val="22"/>
          <w:szCs w:val="22"/>
        </w:rPr>
        <w:t>de investimento, referidos no subitem 15.01 da lista de serviços anexa a esta Lei Complementar, o tomador é o cotista.</w:t>
      </w:r>
    </w:p>
    <w:p w14:paraId="7D32CACE" w14:textId="77777777" w:rsidR="00F3768D" w:rsidRDefault="00F3768D">
      <w:pPr>
        <w:pStyle w:val="Corpodetextorecuado"/>
        <w:jc w:val="both"/>
        <w:rPr>
          <w:rFonts w:eastAsiaTheme="minorHAnsi" w:cs="Arial"/>
          <w:sz w:val="22"/>
          <w:szCs w:val="22"/>
        </w:rPr>
      </w:pPr>
    </w:p>
    <w:p w14:paraId="209B4C6E" w14:textId="77777777" w:rsidR="00F3768D" w:rsidRDefault="00064547">
      <w:pPr>
        <w:pStyle w:val="Corpodetextorecuado"/>
        <w:jc w:val="both"/>
        <w:rPr>
          <w:sz w:val="22"/>
          <w:szCs w:val="22"/>
        </w:rPr>
      </w:pPr>
      <w:r>
        <w:rPr>
          <w:rFonts w:eastAsiaTheme="minorHAnsi" w:cs="Arial"/>
          <w:b/>
          <w:bCs/>
          <w:sz w:val="22"/>
          <w:szCs w:val="22"/>
        </w:rPr>
        <w:t>§ 14</w:t>
      </w:r>
      <w:r>
        <w:rPr>
          <w:rFonts w:eastAsiaTheme="minorHAnsi" w:cs="Arial"/>
          <w:sz w:val="22"/>
          <w:szCs w:val="22"/>
        </w:rPr>
        <w:t xml:space="preserve"> No caso dos serviços de administração de consórcios, o tomador de serviço é o consorciado.</w:t>
      </w:r>
    </w:p>
    <w:p w14:paraId="00CFDABA" w14:textId="77777777" w:rsidR="00F3768D" w:rsidRDefault="00F3768D">
      <w:pPr>
        <w:pStyle w:val="Corpodetextorecuado"/>
        <w:jc w:val="both"/>
        <w:rPr>
          <w:rFonts w:eastAsiaTheme="minorHAnsi" w:cs="Arial"/>
          <w:sz w:val="22"/>
          <w:szCs w:val="22"/>
        </w:rPr>
      </w:pPr>
    </w:p>
    <w:p w14:paraId="4106BEFA" w14:textId="77777777" w:rsidR="00F3768D" w:rsidRDefault="00064547">
      <w:pPr>
        <w:pStyle w:val="Corpodetextorecuado"/>
        <w:jc w:val="both"/>
        <w:rPr>
          <w:sz w:val="22"/>
          <w:szCs w:val="22"/>
        </w:rPr>
      </w:pPr>
      <w:r>
        <w:rPr>
          <w:rFonts w:eastAsiaTheme="minorHAnsi" w:cs="Arial"/>
          <w:b/>
          <w:bCs/>
          <w:sz w:val="22"/>
          <w:szCs w:val="22"/>
        </w:rPr>
        <w:t>§ 15</w:t>
      </w:r>
      <w:r>
        <w:rPr>
          <w:rFonts w:eastAsiaTheme="minorHAnsi" w:cs="Arial"/>
          <w:sz w:val="22"/>
          <w:szCs w:val="22"/>
        </w:rPr>
        <w:t xml:space="preserve"> No caso dos serviços de arrendamen</w:t>
      </w:r>
      <w:r>
        <w:rPr>
          <w:rFonts w:eastAsiaTheme="minorHAnsi" w:cs="Arial"/>
          <w:sz w:val="22"/>
          <w:szCs w:val="22"/>
        </w:rPr>
        <w:t>to mercantil, o tomador do serviço é o arrendatário, pessoa física ou a unidade beneficiária da pessoa jurídica, domiciliado no País, e, no caso de arrendatário não domiciliado no País, o tomador é o beneficiário do serviço no País.”</w:t>
      </w:r>
    </w:p>
    <w:p w14:paraId="074D14ED" w14:textId="77777777" w:rsidR="00064547" w:rsidRDefault="00064547">
      <w:pPr>
        <w:pStyle w:val="Corpodetextorecuado"/>
        <w:jc w:val="both"/>
        <w:rPr>
          <w:rFonts w:eastAsiaTheme="minorHAnsi" w:cs="Arial"/>
          <w:b/>
          <w:bCs/>
          <w:sz w:val="22"/>
          <w:szCs w:val="22"/>
        </w:rPr>
      </w:pPr>
    </w:p>
    <w:p w14:paraId="3F4BA99E" w14:textId="13257D37" w:rsidR="00F3768D" w:rsidRDefault="00064547">
      <w:pPr>
        <w:pStyle w:val="Corpodetextorecuado"/>
        <w:jc w:val="both"/>
        <w:rPr>
          <w:sz w:val="22"/>
          <w:szCs w:val="22"/>
        </w:rPr>
      </w:pPr>
      <w:r>
        <w:rPr>
          <w:rFonts w:eastAsiaTheme="minorHAnsi" w:cs="Arial"/>
          <w:b/>
          <w:bCs/>
          <w:sz w:val="22"/>
          <w:szCs w:val="22"/>
        </w:rPr>
        <w:t>Art. 4º.</w:t>
      </w:r>
      <w:r>
        <w:rPr>
          <w:rFonts w:eastAsiaTheme="minorHAnsi" w:cs="Arial"/>
          <w:sz w:val="22"/>
          <w:szCs w:val="22"/>
        </w:rPr>
        <w:t xml:space="preserve"> O § 1º do a</w:t>
      </w:r>
      <w:r>
        <w:rPr>
          <w:rFonts w:eastAsiaTheme="minorHAnsi" w:cs="Arial"/>
          <w:sz w:val="22"/>
          <w:szCs w:val="22"/>
        </w:rPr>
        <w:t>rtigo 170 da Lei Complementar 31/2010, de 15 de janeiro de 2010, passa a vigorar com a seguinte redação:</w:t>
      </w:r>
    </w:p>
    <w:p w14:paraId="54B6E09F" w14:textId="77777777" w:rsidR="00F3768D" w:rsidRDefault="00F3768D">
      <w:pPr>
        <w:pStyle w:val="Corpodetextorecuado"/>
        <w:jc w:val="both"/>
        <w:rPr>
          <w:rFonts w:eastAsiaTheme="minorHAnsi" w:cs="Arial"/>
          <w:sz w:val="22"/>
          <w:szCs w:val="22"/>
        </w:rPr>
      </w:pPr>
    </w:p>
    <w:p w14:paraId="06D425E2" w14:textId="43E7C2A7" w:rsidR="00F3768D" w:rsidRDefault="00064547">
      <w:pPr>
        <w:pStyle w:val="Corpodetextorecuado"/>
        <w:jc w:val="both"/>
        <w:rPr>
          <w:sz w:val="22"/>
          <w:szCs w:val="22"/>
        </w:rPr>
      </w:pPr>
      <w:r>
        <w:rPr>
          <w:rFonts w:eastAsiaTheme="minorHAnsi" w:cs="Arial"/>
          <w:sz w:val="22"/>
          <w:szCs w:val="22"/>
        </w:rPr>
        <w:t>“</w:t>
      </w:r>
      <w:r>
        <w:rPr>
          <w:rFonts w:eastAsiaTheme="minorHAnsi" w:cs="Arial"/>
          <w:b/>
          <w:bCs/>
          <w:sz w:val="22"/>
          <w:szCs w:val="22"/>
        </w:rPr>
        <w:t xml:space="preserve">Art. 170. </w:t>
      </w:r>
      <w:r>
        <w:rPr>
          <w:rFonts w:eastAsiaTheme="minorHAnsi" w:cs="Arial"/>
          <w:sz w:val="22"/>
          <w:szCs w:val="22"/>
        </w:rPr>
        <w:t xml:space="preserve"> </w:t>
      </w:r>
      <w:r>
        <w:rPr>
          <w:rFonts w:eastAsiaTheme="minorHAnsi" w:cs="Arial"/>
          <w:sz w:val="22"/>
          <w:szCs w:val="22"/>
        </w:rPr>
        <w:t>…………………………………………………………………………………………………..</w:t>
      </w:r>
    </w:p>
    <w:p w14:paraId="13BDF4B8" w14:textId="77777777" w:rsidR="00F3768D" w:rsidRDefault="00F3768D">
      <w:pPr>
        <w:pStyle w:val="Corpodetextorecuado"/>
        <w:jc w:val="both"/>
        <w:rPr>
          <w:rFonts w:eastAsiaTheme="minorHAnsi" w:cs="Arial"/>
          <w:sz w:val="22"/>
          <w:szCs w:val="22"/>
        </w:rPr>
      </w:pPr>
    </w:p>
    <w:p w14:paraId="7961F15C" w14:textId="77777777" w:rsidR="00F3768D" w:rsidRDefault="00064547">
      <w:pPr>
        <w:spacing w:line="360" w:lineRule="auto"/>
        <w:ind w:firstLine="720"/>
        <w:jc w:val="both"/>
      </w:pPr>
      <w:r>
        <w:rPr>
          <w:rFonts w:ascii="Verdana" w:hAnsi="Verdana" w:cs="Arial"/>
          <w:b/>
          <w:bCs/>
        </w:rPr>
        <w:t>§ 1º</w:t>
      </w:r>
      <w:r>
        <w:rPr>
          <w:rFonts w:ascii="Verdana" w:hAnsi="Verdana" w:cs="Arial"/>
        </w:rPr>
        <w:t xml:space="preserve"> Não sendo aprovado novo Mapa de Valores Genéricos, os valores venais dos imóveis constantes do Mapa de Valores em vigor serão atualizados monetariamente pela aplicação do índice acumulado nos últimos 12 (doze) meses do IPCA/IBGE, para fins de lançamento d</w:t>
      </w:r>
      <w:r>
        <w:rPr>
          <w:rFonts w:ascii="Verdana" w:hAnsi="Verdana" w:cs="Arial"/>
        </w:rPr>
        <w:t>o IPTU.</w:t>
      </w:r>
    </w:p>
    <w:p w14:paraId="3D75514E" w14:textId="00D96690" w:rsidR="00F3768D" w:rsidRDefault="00064547">
      <w:pPr>
        <w:pStyle w:val="Corpodetextorecuado"/>
        <w:jc w:val="both"/>
      </w:pPr>
      <w:r>
        <w:rPr>
          <w:rFonts w:eastAsiaTheme="minorHAnsi"/>
          <w:b/>
          <w:sz w:val="22"/>
          <w:szCs w:val="22"/>
        </w:rPr>
        <w:lastRenderedPageBreak/>
        <w:t>Art. 5º.</w:t>
      </w:r>
      <w:r>
        <w:rPr>
          <w:rFonts w:eastAsiaTheme="minorHAnsi"/>
          <w:sz w:val="22"/>
          <w:szCs w:val="22"/>
        </w:rPr>
        <w:t xml:space="preserve"> O a</w:t>
      </w:r>
      <w:r>
        <w:rPr>
          <w:rFonts w:eastAsiaTheme="minorHAnsi" w:cs="Arial"/>
          <w:sz w:val="22"/>
          <w:szCs w:val="22"/>
        </w:rPr>
        <w:t>rt. 180 da Lei Complementar 31/2010, de 15 de janeiro de 2010, passa a vigorar com a seguinte redação:</w:t>
      </w:r>
    </w:p>
    <w:p w14:paraId="58BCF2FA" w14:textId="77777777" w:rsidR="00F3768D" w:rsidRDefault="00F3768D">
      <w:pPr>
        <w:pStyle w:val="Corpodetextorecuado"/>
        <w:jc w:val="both"/>
        <w:rPr>
          <w:rFonts w:eastAsiaTheme="minorHAnsi" w:cs="Arial"/>
          <w:sz w:val="22"/>
          <w:szCs w:val="22"/>
        </w:rPr>
      </w:pPr>
    </w:p>
    <w:p w14:paraId="63C25243" w14:textId="77777777" w:rsidR="00F3768D" w:rsidRDefault="00064547">
      <w:pPr>
        <w:pStyle w:val="Corpodetextorecuado"/>
        <w:jc w:val="both"/>
        <w:rPr>
          <w:sz w:val="22"/>
          <w:szCs w:val="22"/>
        </w:rPr>
      </w:pPr>
      <w:r>
        <w:rPr>
          <w:rFonts w:eastAsiaTheme="minorHAnsi" w:cs="Arial"/>
          <w:sz w:val="22"/>
          <w:szCs w:val="22"/>
        </w:rPr>
        <w:t xml:space="preserve"> “</w:t>
      </w:r>
      <w:r>
        <w:rPr>
          <w:rFonts w:eastAsiaTheme="minorHAnsi" w:cs="Arial"/>
          <w:b/>
          <w:bCs/>
          <w:sz w:val="22"/>
          <w:szCs w:val="22"/>
        </w:rPr>
        <w:t>Art. 180.</w:t>
      </w:r>
      <w:r>
        <w:rPr>
          <w:rFonts w:eastAsiaTheme="minorHAnsi" w:cs="Arial"/>
          <w:sz w:val="22"/>
          <w:szCs w:val="22"/>
        </w:rPr>
        <w:t xml:space="preserve"> O pagamento do IPTU e das taxas que com ele são cobradas será feito no prazo e forma estabelecidos em decreto, o qual p</w:t>
      </w:r>
      <w:r>
        <w:rPr>
          <w:rFonts w:eastAsiaTheme="minorHAnsi" w:cs="Arial"/>
          <w:sz w:val="22"/>
          <w:szCs w:val="22"/>
        </w:rPr>
        <w:t>oderá autorizar o pagamento em parcelas, bem como descontos de até 8% (oito por cento) para pagamento do imposto em cota única.</w:t>
      </w:r>
    </w:p>
    <w:p w14:paraId="30DAAE54" w14:textId="77777777" w:rsidR="00F3768D" w:rsidRDefault="00F3768D">
      <w:pPr>
        <w:pStyle w:val="Corpodotexto"/>
        <w:spacing w:after="0" w:line="360" w:lineRule="auto"/>
        <w:ind w:firstLine="720"/>
        <w:jc w:val="both"/>
        <w:rPr>
          <w:rFonts w:ascii="Verdana" w:hAnsi="Verdana" w:cs="Arial"/>
          <w:u w:val="single"/>
        </w:rPr>
      </w:pPr>
    </w:p>
    <w:p w14:paraId="505EAC20" w14:textId="2F4058A3" w:rsidR="00F3768D" w:rsidRDefault="00064547">
      <w:pPr>
        <w:pStyle w:val="Corpodetextorecuado"/>
        <w:jc w:val="both"/>
        <w:rPr>
          <w:sz w:val="22"/>
          <w:szCs w:val="22"/>
        </w:rPr>
      </w:pPr>
      <w:r>
        <w:rPr>
          <w:rFonts w:eastAsiaTheme="minorHAnsi" w:cs="Arial"/>
          <w:b/>
          <w:bCs/>
          <w:sz w:val="22"/>
          <w:szCs w:val="22"/>
        </w:rPr>
        <w:t>§ 1º</w:t>
      </w:r>
      <w:r>
        <w:rPr>
          <w:rFonts w:eastAsiaTheme="minorHAnsi" w:cs="Arial"/>
          <w:sz w:val="22"/>
          <w:szCs w:val="22"/>
        </w:rPr>
        <w:t xml:space="preserve"> O pagamento das parcelas após a data de vencimento e no exercício a que se referir o lançamento, sofrerá a incidência de multa, juros e correção monetária através do IPCA/IBGE.</w:t>
      </w:r>
    </w:p>
    <w:p w14:paraId="5AFE18C5" w14:textId="77777777" w:rsidR="00F3768D" w:rsidRDefault="00F3768D">
      <w:pPr>
        <w:pStyle w:val="Corpodetextorecuado"/>
        <w:jc w:val="both"/>
        <w:rPr>
          <w:rFonts w:eastAsiaTheme="minorHAnsi"/>
          <w:sz w:val="22"/>
          <w:szCs w:val="22"/>
        </w:rPr>
      </w:pPr>
    </w:p>
    <w:p w14:paraId="610932E7" w14:textId="52953324" w:rsidR="00F3768D" w:rsidRDefault="00064547">
      <w:pPr>
        <w:pStyle w:val="Corpodetextorecuado"/>
        <w:jc w:val="both"/>
      </w:pPr>
      <w:r>
        <w:rPr>
          <w:rFonts w:eastAsiaTheme="minorHAnsi" w:cs="Arial"/>
          <w:b/>
          <w:bCs/>
          <w:sz w:val="22"/>
          <w:szCs w:val="22"/>
        </w:rPr>
        <w:t>§ 2º</w:t>
      </w:r>
      <w:r>
        <w:rPr>
          <w:rFonts w:eastAsiaTheme="minorHAnsi" w:cs="Arial"/>
          <w:b/>
          <w:bCs/>
          <w:sz w:val="22"/>
          <w:szCs w:val="22"/>
        </w:rPr>
        <w:t xml:space="preserve"> </w:t>
      </w:r>
      <w:r>
        <w:rPr>
          <w:rFonts w:eastAsiaTheme="minorHAnsi" w:cs="Arial"/>
          <w:sz w:val="22"/>
          <w:szCs w:val="22"/>
        </w:rPr>
        <w:t>O Poder Executivo Municipal poderá, por meio de Decreto, instituir o “P</w:t>
      </w:r>
      <w:r>
        <w:rPr>
          <w:rFonts w:eastAsiaTheme="minorHAnsi" w:cs="Arial"/>
          <w:sz w:val="22"/>
          <w:szCs w:val="22"/>
        </w:rPr>
        <w:t>rograma Bom Pagador”, que consistirá em outorgar tratamento mais benéfico ao contribuinte tributário que esteja adimplente com a municipalidade relativamente ao IPTU – Imposto sobre a Propriedade Predial e Territorial Urbana há, pelo menos, dois exercícios</w:t>
      </w:r>
      <w:r>
        <w:rPr>
          <w:rFonts w:eastAsiaTheme="minorHAnsi" w:cs="Arial"/>
          <w:sz w:val="22"/>
          <w:szCs w:val="22"/>
        </w:rPr>
        <w:t xml:space="preserve"> consecutivos, com a concessão de descontos além daquele previsto no 'caput', até o limite máximo acumulado de 18% (dezoito por cento) do valor total dos tributos.</w:t>
      </w:r>
    </w:p>
    <w:p w14:paraId="38F2B2FE" w14:textId="77777777" w:rsidR="00F3768D" w:rsidRDefault="00F3768D">
      <w:pPr>
        <w:pStyle w:val="Corpodetextorecuado"/>
        <w:jc w:val="both"/>
        <w:rPr>
          <w:rFonts w:eastAsiaTheme="minorHAnsi" w:cs="Arial"/>
          <w:sz w:val="22"/>
          <w:szCs w:val="22"/>
        </w:rPr>
      </w:pPr>
    </w:p>
    <w:p w14:paraId="51C98367" w14:textId="40D7CDD3" w:rsidR="00F3768D" w:rsidRDefault="00064547">
      <w:pPr>
        <w:pStyle w:val="Corpodetextorecuado"/>
        <w:jc w:val="both"/>
        <w:rPr>
          <w:sz w:val="22"/>
          <w:szCs w:val="22"/>
        </w:rPr>
      </w:pPr>
      <w:r>
        <w:rPr>
          <w:rFonts w:eastAsiaTheme="minorHAnsi" w:cs="Arial"/>
          <w:b/>
          <w:bCs/>
          <w:sz w:val="22"/>
          <w:szCs w:val="22"/>
        </w:rPr>
        <w:t>§ 3º</w:t>
      </w:r>
      <w:r>
        <w:rPr>
          <w:rFonts w:eastAsiaTheme="minorHAnsi" w:cs="Arial"/>
          <w:sz w:val="22"/>
          <w:szCs w:val="22"/>
        </w:rPr>
        <w:t xml:space="preserve"> Quando os serviços públicos remunerados por meio de taxa, cobrada ou não conjuntament</w:t>
      </w:r>
      <w:r>
        <w:rPr>
          <w:rFonts w:eastAsiaTheme="minorHAnsi" w:cs="Arial"/>
          <w:sz w:val="22"/>
          <w:szCs w:val="22"/>
        </w:rPr>
        <w:t>e com o IPTU, forem objeto de concessão ou descentralização administrativa, não poderá a cobrança persistir se outra espécie remuneratória do serviço for instituída, a exemplo de tarifas ou preços públicos.”</w:t>
      </w:r>
    </w:p>
    <w:p w14:paraId="3AC2EB0C" w14:textId="77777777" w:rsidR="00F3768D" w:rsidRDefault="00F3768D">
      <w:pPr>
        <w:pStyle w:val="Corpodetextorecuado"/>
        <w:jc w:val="both"/>
        <w:rPr>
          <w:rFonts w:eastAsiaTheme="minorHAnsi"/>
          <w:sz w:val="22"/>
          <w:szCs w:val="22"/>
        </w:rPr>
      </w:pPr>
    </w:p>
    <w:p w14:paraId="62C00306" w14:textId="24CAF387" w:rsidR="00F3768D" w:rsidRDefault="00064547">
      <w:pPr>
        <w:pStyle w:val="Corpodetextorecuado"/>
        <w:jc w:val="both"/>
      </w:pPr>
      <w:r>
        <w:rPr>
          <w:rFonts w:eastAsiaTheme="minorHAnsi" w:cs="Arial"/>
          <w:b/>
          <w:bCs/>
          <w:sz w:val="22"/>
          <w:szCs w:val="22"/>
        </w:rPr>
        <w:t>Art. 6º.</w:t>
      </w:r>
      <w:r>
        <w:rPr>
          <w:rFonts w:eastAsiaTheme="minorHAnsi" w:cs="Arial"/>
          <w:sz w:val="22"/>
          <w:szCs w:val="22"/>
        </w:rPr>
        <w:t xml:space="preserve"> Fica incluído n</w:t>
      </w:r>
      <w:bookmarkStart w:id="0" w:name="__DdeLink__1963_451339132"/>
      <w:r>
        <w:rPr>
          <w:rFonts w:eastAsiaTheme="minorHAnsi" w:cs="Arial"/>
          <w:sz w:val="22"/>
          <w:szCs w:val="22"/>
        </w:rPr>
        <w:t>a Lei Complementar 31/</w:t>
      </w:r>
      <w:r>
        <w:rPr>
          <w:rFonts w:eastAsiaTheme="minorHAnsi" w:cs="Arial"/>
          <w:sz w:val="22"/>
          <w:szCs w:val="22"/>
        </w:rPr>
        <w:t xml:space="preserve">2010, de 15 de janeiro de 2010, o artigo </w:t>
      </w:r>
      <w:proofErr w:type="spellStart"/>
      <w:r>
        <w:rPr>
          <w:rFonts w:eastAsiaTheme="minorHAnsi" w:cs="Arial"/>
          <w:sz w:val="22"/>
          <w:szCs w:val="22"/>
        </w:rPr>
        <w:t>186-A</w:t>
      </w:r>
      <w:proofErr w:type="spellEnd"/>
      <w:r>
        <w:rPr>
          <w:rFonts w:eastAsiaTheme="minorHAnsi" w:cs="Arial"/>
          <w:sz w:val="22"/>
          <w:szCs w:val="22"/>
        </w:rPr>
        <w:t xml:space="preserve"> com a seguinte redação</w:t>
      </w:r>
      <w:bookmarkEnd w:id="0"/>
      <w:r>
        <w:rPr>
          <w:rFonts w:eastAsiaTheme="minorHAnsi" w:cs="Arial"/>
          <w:sz w:val="22"/>
          <w:szCs w:val="22"/>
        </w:rPr>
        <w:t>:</w:t>
      </w:r>
    </w:p>
    <w:p w14:paraId="7B40EAF2" w14:textId="77777777" w:rsidR="00F3768D" w:rsidRDefault="00F3768D">
      <w:pPr>
        <w:pStyle w:val="Corpodetextorecuado"/>
        <w:jc w:val="both"/>
        <w:rPr>
          <w:rFonts w:eastAsiaTheme="minorHAnsi"/>
          <w:sz w:val="22"/>
          <w:szCs w:val="22"/>
        </w:rPr>
      </w:pPr>
    </w:p>
    <w:p w14:paraId="04824A17" w14:textId="77777777" w:rsidR="00F3768D" w:rsidRDefault="00064547">
      <w:pPr>
        <w:pStyle w:val="Corpodetextorecuado"/>
        <w:jc w:val="both"/>
        <w:rPr>
          <w:sz w:val="22"/>
          <w:szCs w:val="22"/>
        </w:rPr>
      </w:pPr>
      <w:r>
        <w:rPr>
          <w:rFonts w:eastAsiaTheme="minorHAnsi" w:cs="Arial"/>
          <w:sz w:val="22"/>
          <w:szCs w:val="22"/>
        </w:rPr>
        <w:t>“</w:t>
      </w:r>
      <w:r>
        <w:rPr>
          <w:rFonts w:eastAsiaTheme="minorHAnsi" w:cs="Arial"/>
          <w:b/>
          <w:bCs/>
          <w:sz w:val="22"/>
          <w:szCs w:val="22"/>
        </w:rPr>
        <w:t xml:space="preserve">Art. </w:t>
      </w:r>
      <w:proofErr w:type="spellStart"/>
      <w:r>
        <w:rPr>
          <w:rFonts w:eastAsiaTheme="minorHAnsi" w:cs="Arial"/>
          <w:b/>
          <w:bCs/>
          <w:sz w:val="22"/>
          <w:szCs w:val="22"/>
        </w:rPr>
        <w:t>186-A</w:t>
      </w:r>
      <w:proofErr w:type="spellEnd"/>
      <w:r>
        <w:rPr>
          <w:rFonts w:eastAsiaTheme="minorHAnsi" w:cs="Arial"/>
          <w:b/>
          <w:bCs/>
          <w:sz w:val="22"/>
          <w:szCs w:val="22"/>
        </w:rPr>
        <w:t>.</w:t>
      </w:r>
      <w:r>
        <w:rPr>
          <w:rFonts w:eastAsiaTheme="minorHAnsi" w:cs="Arial"/>
          <w:sz w:val="22"/>
          <w:szCs w:val="22"/>
        </w:rPr>
        <w:t xml:space="preserve"> Para loteamentos novos aprovados pela Prefeitura, o IPTU dos novos lotes devidamente registrados no Cadastro Imobiliário Municipal, exclusivamente durante a vigência do Te</w:t>
      </w:r>
      <w:r>
        <w:rPr>
          <w:rFonts w:eastAsiaTheme="minorHAnsi" w:cs="Arial"/>
          <w:sz w:val="22"/>
          <w:szCs w:val="22"/>
        </w:rPr>
        <w:t xml:space="preserve">rmo de Compromisso firmado entre a </w:t>
      </w:r>
      <w:r>
        <w:rPr>
          <w:rFonts w:eastAsiaTheme="minorHAnsi" w:cs="Arial"/>
          <w:sz w:val="22"/>
          <w:szCs w:val="22"/>
        </w:rPr>
        <w:lastRenderedPageBreak/>
        <w:t>municipalidade e o empreendedor para a execução das obras e melhoramentos de saneamento e infraestrutura, sofrerá abatimento de:</w:t>
      </w:r>
    </w:p>
    <w:p w14:paraId="156117B8" w14:textId="77777777" w:rsidR="00F3768D" w:rsidRDefault="00F3768D">
      <w:pPr>
        <w:pStyle w:val="Corpodetextorecuado"/>
        <w:jc w:val="both"/>
        <w:rPr>
          <w:rFonts w:eastAsiaTheme="minorHAnsi" w:cs="Arial"/>
          <w:sz w:val="22"/>
          <w:szCs w:val="22"/>
        </w:rPr>
      </w:pPr>
    </w:p>
    <w:p w14:paraId="48D7ACA2" w14:textId="77777777" w:rsidR="00F3768D" w:rsidRDefault="00064547">
      <w:pPr>
        <w:pStyle w:val="Corpodetextorecuado"/>
        <w:jc w:val="both"/>
      </w:pPr>
      <w:r>
        <w:rPr>
          <w:rFonts w:eastAsiaTheme="minorHAnsi" w:cs="Arial"/>
          <w:b/>
          <w:bCs/>
          <w:sz w:val="22"/>
          <w:szCs w:val="22"/>
        </w:rPr>
        <w:t>I –</w:t>
      </w:r>
      <w:r>
        <w:rPr>
          <w:rFonts w:eastAsiaTheme="minorHAnsi" w:cs="Arial"/>
          <w:sz w:val="22"/>
          <w:szCs w:val="22"/>
        </w:rPr>
        <w:t xml:space="preserve"> 80% no primeiro ano </w:t>
      </w:r>
      <w:bookmarkStart w:id="1" w:name="__DdeLink__115_1227076925"/>
      <w:r>
        <w:rPr>
          <w:rFonts w:eastAsiaTheme="minorHAnsi" w:cs="Arial"/>
          <w:sz w:val="22"/>
          <w:szCs w:val="22"/>
        </w:rPr>
        <w:t>de vigência do Termo de Compromisso</w:t>
      </w:r>
      <w:bookmarkEnd w:id="1"/>
      <w:r>
        <w:rPr>
          <w:rFonts w:eastAsiaTheme="minorHAnsi" w:cs="Arial"/>
          <w:sz w:val="22"/>
          <w:szCs w:val="22"/>
        </w:rPr>
        <w:t>, se esse prazo superar seis mes</w:t>
      </w:r>
      <w:r>
        <w:rPr>
          <w:rFonts w:eastAsiaTheme="minorHAnsi" w:cs="Arial"/>
          <w:sz w:val="22"/>
          <w:szCs w:val="22"/>
        </w:rPr>
        <w:t>es;</w:t>
      </w:r>
    </w:p>
    <w:p w14:paraId="1506A4F0" w14:textId="77777777" w:rsidR="00F3768D" w:rsidRDefault="00064547">
      <w:pPr>
        <w:pStyle w:val="Corpodetextorecuado"/>
        <w:jc w:val="both"/>
        <w:rPr>
          <w:sz w:val="22"/>
          <w:szCs w:val="22"/>
        </w:rPr>
      </w:pPr>
      <w:r>
        <w:rPr>
          <w:rFonts w:eastAsiaTheme="minorHAnsi" w:cs="Arial"/>
          <w:b/>
          <w:bCs/>
          <w:sz w:val="22"/>
          <w:szCs w:val="22"/>
        </w:rPr>
        <w:t xml:space="preserve">II – </w:t>
      </w:r>
      <w:r>
        <w:rPr>
          <w:rFonts w:eastAsiaTheme="minorHAnsi" w:cs="Arial"/>
          <w:sz w:val="22"/>
          <w:szCs w:val="22"/>
        </w:rPr>
        <w:t>50% no segundo ano de vigência do Termo de Compromisso, se houver;</w:t>
      </w:r>
    </w:p>
    <w:p w14:paraId="3AF235BF" w14:textId="77777777" w:rsidR="00F3768D" w:rsidRDefault="00064547">
      <w:pPr>
        <w:pStyle w:val="Corpodetextorecuado"/>
        <w:jc w:val="both"/>
      </w:pPr>
      <w:r>
        <w:rPr>
          <w:rFonts w:eastAsiaTheme="minorHAnsi" w:cs="Arial"/>
          <w:b/>
          <w:bCs/>
          <w:sz w:val="22"/>
          <w:szCs w:val="22"/>
        </w:rPr>
        <w:t>III –</w:t>
      </w:r>
      <w:r>
        <w:rPr>
          <w:rFonts w:eastAsiaTheme="minorHAnsi" w:cs="Arial"/>
          <w:sz w:val="22"/>
          <w:szCs w:val="22"/>
        </w:rPr>
        <w:t xml:space="preserve"> 20% no terceiro ano de vigência do Termo de Compromisso, se seu vencimento ocorrer no segundo semestre.</w:t>
      </w:r>
    </w:p>
    <w:p w14:paraId="7904C0D1" w14:textId="77777777" w:rsidR="00F3768D" w:rsidRDefault="00F3768D">
      <w:pPr>
        <w:pStyle w:val="Corpodetextorecuado"/>
        <w:jc w:val="both"/>
        <w:rPr>
          <w:rFonts w:eastAsiaTheme="minorHAnsi"/>
          <w:sz w:val="22"/>
          <w:szCs w:val="22"/>
        </w:rPr>
      </w:pPr>
    </w:p>
    <w:p w14:paraId="4666095D" w14:textId="77777777" w:rsidR="00F3768D" w:rsidRDefault="00064547">
      <w:pPr>
        <w:pStyle w:val="Corpodetextorecuado"/>
        <w:jc w:val="both"/>
      </w:pPr>
      <w:r>
        <w:rPr>
          <w:rFonts w:eastAsiaTheme="minorHAnsi" w:cs="Arial"/>
          <w:b/>
          <w:bCs/>
          <w:sz w:val="22"/>
          <w:szCs w:val="22"/>
        </w:rPr>
        <w:t>§ 1º</w:t>
      </w:r>
      <w:r>
        <w:rPr>
          <w:rFonts w:eastAsiaTheme="minorHAnsi" w:cs="Arial"/>
          <w:sz w:val="22"/>
          <w:szCs w:val="22"/>
        </w:rPr>
        <w:t xml:space="preserve"> Em caso de Termo firmado com prazo inferior aos três anos de obr</w:t>
      </w:r>
      <w:r>
        <w:rPr>
          <w:rFonts w:eastAsiaTheme="minorHAnsi" w:cs="Arial"/>
          <w:sz w:val="22"/>
          <w:szCs w:val="22"/>
        </w:rPr>
        <w:t>as, prevalecerão os abatimentos previstos nos incisos I e II e, em caso de prorrogação do prazo de execução para além de três anos, prevalecerá, após o primeiro e até o penúltimo ano de vigência, o abatimento previsto no inciso II.</w:t>
      </w:r>
    </w:p>
    <w:p w14:paraId="5381FCF1" w14:textId="77777777" w:rsidR="00F3768D" w:rsidRDefault="00F3768D">
      <w:pPr>
        <w:pStyle w:val="Corpodetextorecuado"/>
        <w:jc w:val="both"/>
        <w:rPr>
          <w:rFonts w:eastAsiaTheme="minorHAnsi" w:cs="Arial"/>
          <w:sz w:val="22"/>
          <w:szCs w:val="22"/>
        </w:rPr>
      </w:pPr>
    </w:p>
    <w:p w14:paraId="3CD18051" w14:textId="77777777" w:rsidR="00F3768D" w:rsidRDefault="00064547">
      <w:pPr>
        <w:pStyle w:val="Corpodetextorecuado"/>
        <w:jc w:val="both"/>
      </w:pPr>
      <w:r>
        <w:rPr>
          <w:rFonts w:eastAsiaTheme="minorHAnsi" w:cs="Arial"/>
          <w:b/>
          <w:bCs/>
          <w:sz w:val="22"/>
          <w:szCs w:val="22"/>
        </w:rPr>
        <w:t xml:space="preserve">§ 2º </w:t>
      </w:r>
      <w:r>
        <w:rPr>
          <w:rFonts w:eastAsiaTheme="minorHAnsi" w:cs="Arial"/>
          <w:sz w:val="22"/>
          <w:szCs w:val="22"/>
        </w:rPr>
        <w:t>Findo o prazo esta</w:t>
      </w:r>
      <w:r>
        <w:rPr>
          <w:rFonts w:eastAsiaTheme="minorHAnsi" w:cs="Arial"/>
          <w:sz w:val="22"/>
          <w:szCs w:val="22"/>
        </w:rPr>
        <w:t>belecido no Termo de Compromisso para a conclusão das obras, a cobrança do IPTU será integral e sem quaisquer abatimentos, inclusive no último ano de vigência do Termo se o seu vencimento ocorrer no primeiro semestre.</w:t>
      </w:r>
    </w:p>
    <w:p w14:paraId="4C348A4D" w14:textId="77777777" w:rsidR="00F3768D" w:rsidRDefault="00F3768D">
      <w:pPr>
        <w:pStyle w:val="Corpodetextorecuado"/>
        <w:jc w:val="both"/>
        <w:rPr>
          <w:rFonts w:eastAsiaTheme="minorHAnsi" w:cs="Arial"/>
          <w:sz w:val="22"/>
          <w:szCs w:val="22"/>
        </w:rPr>
      </w:pPr>
    </w:p>
    <w:p w14:paraId="16AA94E0" w14:textId="77777777" w:rsidR="00F3768D" w:rsidRDefault="00064547">
      <w:pPr>
        <w:pStyle w:val="Corpodetextorecuado"/>
        <w:jc w:val="both"/>
      </w:pPr>
      <w:r>
        <w:rPr>
          <w:rFonts w:eastAsiaTheme="minorHAnsi" w:cs="Arial"/>
          <w:b/>
          <w:bCs/>
          <w:sz w:val="22"/>
          <w:szCs w:val="22"/>
        </w:rPr>
        <w:t>§ 3º</w:t>
      </w:r>
      <w:r>
        <w:rPr>
          <w:rFonts w:eastAsiaTheme="minorHAnsi" w:cs="Arial"/>
          <w:sz w:val="22"/>
          <w:szCs w:val="22"/>
        </w:rPr>
        <w:t xml:space="preserve"> Os lotes eventualmente vendidos e transferidos durante a vigência do Termo de Compromisso também sofrerão os abatimentos previstos no 'caput', respeitadas as mesmas regras, não havendo, contudo, qualquer abatimento ou isenção no ITBI devido.</w:t>
      </w:r>
    </w:p>
    <w:p w14:paraId="64A5C1E0" w14:textId="77777777" w:rsidR="00064547" w:rsidRDefault="00064547">
      <w:pPr>
        <w:pStyle w:val="Corpodetextorecuado"/>
        <w:jc w:val="both"/>
        <w:rPr>
          <w:rFonts w:eastAsiaTheme="minorHAnsi" w:cs="Arial"/>
          <w:b/>
          <w:bCs/>
          <w:sz w:val="22"/>
          <w:szCs w:val="22"/>
        </w:rPr>
      </w:pPr>
    </w:p>
    <w:p w14:paraId="01FB5137" w14:textId="18ED5A16" w:rsidR="00F3768D" w:rsidRDefault="00064547">
      <w:pPr>
        <w:pStyle w:val="Corpodetextorecuado"/>
        <w:jc w:val="both"/>
        <w:rPr>
          <w:sz w:val="22"/>
          <w:szCs w:val="22"/>
        </w:rPr>
      </w:pPr>
      <w:r>
        <w:rPr>
          <w:rFonts w:eastAsiaTheme="minorHAnsi" w:cs="Arial"/>
          <w:b/>
          <w:bCs/>
          <w:sz w:val="22"/>
          <w:szCs w:val="22"/>
        </w:rPr>
        <w:t>§ 4º</w:t>
      </w:r>
      <w:r>
        <w:rPr>
          <w:rFonts w:eastAsiaTheme="minorHAnsi" w:cs="Arial"/>
          <w:sz w:val="22"/>
          <w:szCs w:val="22"/>
        </w:rPr>
        <w:t xml:space="preserve"> O prime</w:t>
      </w:r>
      <w:r>
        <w:rPr>
          <w:rFonts w:eastAsiaTheme="minorHAnsi" w:cs="Arial"/>
          <w:sz w:val="22"/>
          <w:szCs w:val="22"/>
        </w:rPr>
        <w:t xml:space="preserve">iro ano de vigência do Termo de Compromisso, se inferior a seis meses, não será considerado para fins do disposto nos incisos do 'caput' deste artigo, </w:t>
      </w:r>
      <w:proofErr w:type="spellStart"/>
      <w:r>
        <w:rPr>
          <w:rFonts w:eastAsiaTheme="minorHAnsi" w:cs="Arial"/>
          <w:sz w:val="22"/>
          <w:szCs w:val="22"/>
        </w:rPr>
        <w:t>inciando-se</w:t>
      </w:r>
      <w:proofErr w:type="spellEnd"/>
      <w:r>
        <w:rPr>
          <w:rFonts w:eastAsiaTheme="minorHAnsi" w:cs="Arial"/>
          <w:sz w:val="22"/>
          <w:szCs w:val="22"/>
        </w:rPr>
        <w:t xml:space="preserve"> a contagem do primeiro ano a partir do ano subsequente.”</w:t>
      </w:r>
    </w:p>
    <w:p w14:paraId="2167516C" w14:textId="77777777" w:rsidR="00F3768D" w:rsidRDefault="00F3768D">
      <w:pPr>
        <w:pStyle w:val="Corpodetextorecuado"/>
        <w:jc w:val="both"/>
        <w:rPr>
          <w:rFonts w:eastAsiaTheme="minorHAnsi" w:cs="Arial"/>
          <w:sz w:val="22"/>
          <w:szCs w:val="22"/>
        </w:rPr>
      </w:pPr>
    </w:p>
    <w:p w14:paraId="13AB56AF" w14:textId="78400F59" w:rsidR="00F3768D" w:rsidRDefault="00064547">
      <w:pPr>
        <w:pStyle w:val="Corpodetextorecuado"/>
        <w:jc w:val="both"/>
      </w:pPr>
      <w:r>
        <w:rPr>
          <w:rFonts w:eastAsiaTheme="minorHAnsi" w:cs="Arial"/>
          <w:b/>
          <w:bCs/>
          <w:sz w:val="22"/>
          <w:szCs w:val="22"/>
        </w:rPr>
        <w:t>Art. 7º.</w:t>
      </w:r>
      <w:r>
        <w:rPr>
          <w:rFonts w:eastAsiaTheme="minorHAnsi" w:cs="Arial"/>
          <w:sz w:val="22"/>
          <w:szCs w:val="22"/>
        </w:rPr>
        <w:t xml:space="preserve"> O artigo 293 da Lei Compl</w:t>
      </w:r>
      <w:r>
        <w:rPr>
          <w:rFonts w:eastAsiaTheme="minorHAnsi" w:cs="Arial"/>
          <w:sz w:val="22"/>
          <w:szCs w:val="22"/>
        </w:rPr>
        <w:t>ementar 31/2010, de 15 de janeiro de 2010, passa a vigorar com a seguinte redação:</w:t>
      </w:r>
    </w:p>
    <w:p w14:paraId="5B0070E6" w14:textId="77777777" w:rsidR="00F3768D" w:rsidRDefault="00064547">
      <w:pPr>
        <w:pStyle w:val="Corpodetextorecuado"/>
        <w:jc w:val="both"/>
        <w:rPr>
          <w:rFonts w:eastAsiaTheme="minorHAnsi"/>
          <w:sz w:val="22"/>
          <w:szCs w:val="22"/>
        </w:rPr>
      </w:pPr>
      <w:r>
        <w:rPr>
          <w:rFonts w:eastAsiaTheme="minorHAnsi"/>
          <w:sz w:val="22"/>
          <w:szCs w:val="22"/>
        </w:rPr>
        <w:lastRenderedPageBreak/>
        <w:t>“</w:t>
      </w:r>
      <w:r>
        <w:rPr>
          <w:rFonts w:eastAsiaTheme="minorHAnsi"/>
          <w:b/>
          <w:bCs/>
          <w:sz w:val="22"/>
          <w:szCs w:val="22"/>
        </w:rPr>
        <w:t>Art. 293 –</w:t>
      </w:r>
      <w:r>
        <w:rPr>
          <w:rFonts w:eastAsiaTheme="minorHAnsi"/>
          <w:sz w:val="22"/>
          <w:szCs w:val="22"/>
        </w:rPr>
        <w:t xml:space="preserve"> </w:t>
      </w:r>
      <w:r>
        <w:rPr>
          <w:rFonts w:eastAsiaTheme="minorHAnsi" w:cs="Arial"/>
          <w:sz w:val="22"/>
          <w:szCs w:val="22"/>
        </w:rPr>
        <w:t xml:space="preserve">Os valores das Taxas e das multas estabelecidas nesta Lei, bem como os valores estabelecidos no parágrafo único do art. 59, nos </w:t>
      </w:r>
      <w:proofErr w:type="spellStart"/>
      <w:r>
        <w:rPr>
          <w:rFonts w:eastAsiaTheme="minorHAnsi" w:cs="Arial"/>
          <w:sz w:val="22"/>
          <w:szCs w:val="22"/>
        </w:rPr>
        <w:t>arts</w:t>
      </w:r>
      <w:proofErr w:type="spellEnd"/>
      <w:r>
        <w:rPr>
          <w:rFonts w:eastAsiaTheme="minorHAnsi" w:cs="Arial"/>
          <w:sz w:val="22"/>
          <w:szCs w:val="22"/>
        </w:rPr>
        <w:t xml:space="preserve">. 77, 108, parágrafo único, </w:t>
      </w:r>
      <w:r>
        <w:rPr>
          <w:rFonts w:eastAsiaTheme="minorHAnsi" w:cs="Arial"/>
          <w:sz w:val="22"/>
          <w:szCs w:val="22"/>
        </w:rPr>
        <w:t>art. 144, e art. 279 serão atualizados monetariamente, anualmente, pela aplicação do índice acumulado nos últimos 12 (doze) meses do IPCA/IBGE.”</w:t>
      </w:r>
    </w:p>
    <w:p w14:paraId="3AF81972" w14:textId="77777777" w:rsidR="00F3768D" w:rsidRDefault="00F3768D">
      <w:pPr>
        <w:pStyle w:val="Corpodetextorecuado"/>
        <w:jc w:val="both"/>
        <w:rPr>
          <w:rFonts w:eastAsiaTheme="minorHAnsi"/>
          <w:sz w:val="22"/>
          <w:szCs w:val="22"/>
        </w:rPr>
      </w:pPr>
    </w:p>
    <w:p w14:paraId="5AF507D9" w14:textId="3E50FE88" w:rsidR="00F3768D" w:rsidRDefault="00064547">
      <w:pPr>
        <w:pStyle w:val="Corpodetextorecuado"/>
        <w:jc w:val="both"/>
      </w:pPr>
      <w:r>
        <w:rPr>
          <w:rFonts w:eastAsiaTheme="minorHAnsi"/>
          <w:b/>
          <w:bCs/>
          <w:sz w:val="22"/>
          <w:szCs w:val="22"/>
        </w:rPr>
        <w:t>Art. 8º.</w:t>
      </w:r>
      <w:r>
        <w:rPr>
          <w:rFonts w:eastAsiaTheme="minorHAnsi"/>
          <w:sz w:val="22"/>
          <w:szCs w:val="22"/>
        </w:rPr>
        <w:t xml:space="preserve"> Esta lei entra em vigor na data de sua publicação, produzindo seus efeitos a partir de 1º de janeiro de 2021.</w:t>
      </w:r>
    </w:p>
    <w:p w14:paraId="053AFD15" w14:textId="77777777" w:rsidR="00F3768D" w:rsidRDefault="00F3768D">
      <w:pPr>
        <w:pStyle w:val="Corpodetextorecuado"/>
        <w:jc w:val="both"/>
        <w:rPr>
          <w:sz w:val="22"/>
          <w:szCs w:val="22"/>
        </w:rPr>
      </w:pPr>
    </w:p>
    <w:p w14:paraId="430BBBA9" w14:textId="20C5D706" w:rsidR="00F3768D" w:rsidRDefault="00064547">
      <w:pPr>
        <w:pStyle w:val="Corpodetextorecuado"/>
        <w:jc w:val="both"/>
        <w:rPr>
          <w:sz w:val="22"/>
          <w:szCs w:val="22"/>
        </w:rPr>
      </w:pPr>
      <w:r>
        <w:rPr>
          <w:sz w:val="22"/>
          <w:szCs w:val="22"/>
        </w:rPr>
        <w:t>Carmo do Cajuru, 19</w:t>
      </w:r>
      <w:r>
        <w:rPr>
          <w:sz w:val="22"/>
          <w:szCs w:val="22"/>
        </w:rPr>
        <w:t xml:space="preserve"> de novembro de 2020.</w:t>
      </w:r>
    </w:p>
    <w:p w14:paraId="342B229A" w14:textId="77777777" w:rsidR="00F3768D" w:rsidRDefault="00F3768D">
      <w:pPr>
        <w:pStyle w:val="Corpodetextorecuado"/>
        <w:jc w:val="both"/>
        <w:rPr>
          <w:sz w:val="22"/>
          <w:szCs w:val="22"/>
        </w:rPr>
      </w:pPr>
    </w:p>
    <w:p w14:paraId="75DB5079" w14:textId="77777777" w:rsidR="00F3768D" w:rsidRDefault="00F3768D">
      <w:pPr>
        <w:pStyle w:val="Corpodetextorecuado"/>
        <w:jc w:val="both"/>
        <w:rPr>
          <w:sz w:val="22"/>
          <w:szCs w:val="22"/>
        </w:rPr>
      </w:pPr>
    </w:p>
    <w:p w14:paraId="79AB2CB0" w14:textId="77777777" w:rsidR="00F3768D" w:rsidRDefault="00F3768D">
      <w:pPr>
        <w:pStyle w:val="Corpodetextorecuado"/>
        <w:jc w:val="both"/>
        <w:rPr>
          <w:sz w:val="22"/>
          <w:szCs w:val="22"/>
        </w:rPr>
      </w:pPr>
    </w:p>
    <w:p w14:paraId="36DE4A28" w14:textId="77777777" w:rsidR="00F3768D" w:rsidRDefault="00064547">
      <w:pPr>
        <w:pStyle w:val="Corpodetextorecuado"/>
        <w:spacing w:line="240" w:lineRule="auto"/>
        <w:rPr>
          <w:b/>
          <w:sz w:val="22"/>
          <w:szCs w:val="22"/>
        </w:rPr>
      </w:pPr>
      <w:r>
        <w:rPr>
          <w:b/>
          <w:sz w:val="22"/>
          <w:szCs w:val="22"/>
        </w:rPr>
        <w:t>Edson de Souza Vilela</w:t>
      </w:r>
    </w:p>
    <w:p w14:paraId="08CFC1DE" w14:textId="77777777" w:rsidR="00F3768D" w:rsidRDefault="00064547">
      <w:pPr>
        <w:pStyle w:val="Corpodetextorecuado"/>
        <w:spacing w:line="240" w:lineRule="auto"/>
        <w:rPr>
          <w:sz w:val="22"/>
          <w:szCs w:val="22"/>
        </w:rPr>
      </w:pPr>
      <w:r>
        <w:rPr>
          <w:b/>
          <w:sz w:val="22"/>
          <w:szCs w:val="22"/>
        </w:rPr>
        <w:t>Prefeito de Carmo do Cajuru</w:t>
      </w:r>
    </w:p>
    <w:p w14:paraId="254D1341" w14:textId="77777777" w:rsidR="00F3768D" w:rsidRDefault="00F3768D">
      <w:pPr>
        <w:pStyle w:val="Corpodetexto2"/>
        <w:spacing w:line="240" w:lineRule="auto"/>
        <w:jc w:val="center"/>
        <w:rPr>
          <w:b/>
          <w:sz w:val="22"/>
          <w:szCs w:val="22"/>
        </w:rPr>
      </w:pPr>
    </w:p>
    <w:p w14:paraId="18E86188" w14:textId="77777777" w:rsidR="00F3768D" w:rsidRDefault="00F3768D">
      <w:pPr>
        <w:pStyle w:val="Corpodetexto2"/>
        <w:spacing w:line="240" w:lineRule="auto"/>
        <w:jc w:val="center"/>
        <w:rPr>
          <w:b/>
          <w:sz w:val="22"/>
          <w:szCs w:val="22"/>
        </w:rPr>
      </w:pPr>
    </w:p>
    <w:p w14:paraId="25F26BBC" w14:textId="77777777" w:rsidR="00F3768D" w:rsidRDefault="00F3768D">
      <w:pPr>
        <w:pStyle w:val="Corpodetexto2"/>
        <w:spacing w:line="240" w:lineRule="auto"/>
        <w:jc w:val="center"/>
        <w:rPr>
          <w:b/>
          <w:sz w:val="22"/>
          <w:szCs w:val="22"/>
        </w:rPr>
      </w:pPr>
    </w:p>
    <w:p w14:paraId="601BD028" w14:textId="77777777" w:rsidR="00F3768D" w:rsidRDefault="00F3768D">
      <w:pPr>
        <w:pStyle w:val="Corpodetexto2"/>
        <w:spacing w:line="240" w:lineRule="auto"/>
        <w:jc w:val="center"/>
        <w:rPr>
          <w:b/>
          <w:sz w:val="22"/>
          <w:szCs w:val="22"/>
        </w:rPr>
      </w:pPr>
    </w:p>
    <w:p w14:paraId="260D659A" w14:textId="77777777" w:rsidR="00F3768D" w:rsidRDefault="00F3768D">
      <w:pPr>
        <w:pStyle w:val="Corpodetexto2"/>
        <w:spacing w:line="240" w:lineRule="auto"/>
        <w:jc w:val="center"/>
        <w:rPr>
          <w:b/>
          <w:sz w:val="22"/>
          <w:szCs w:val="22"/>
        </w:rPr>
      </w:pPr>
    </w:p>
    <w:p w14:paraId="6AFF7AF7" w14:textId="77777777" w:rsidR="00F3768D" w:rsidRDefault="00F3768D">
      <w:pPr>
        <w:pStyle w:val="Corpodetexto2"/>
        <w:spacing w:line="240" w:lineRule="auto"/>
        <w:jc w:val="center"/>
        <w:rPr>
          <w:b/>
          <w:sz w:val="22"/>
          <w:szCs w:val="22"/>
        </w:rPr>
      </w:pPr>
    </w:p>
    <w:p w14:paraId="661D5482" w14:textId="77777777" w:rsidR="00F3768D" w:rsidRDefault="00F3768D">
      <w:pPr>
        <w:pStyle w:val="Corpodetexto2"/>
        <w:spacing w:line="240" w:lineRule="auto"/>
        <w:jc w:val="center"/>
        <w:rPr>
          <w:b/>
          <w:sz w:val="22"/>
          <w:szCs w:val="22"/>
        </w:rPr>
      </w:pPr>
    </w:p>
    <w:p w14:paraId="0E3FE5F5" w14:textId="77777777" w:rsidR="00F3768D" w:rsidRDefault="00F3768D">
      <w:pPr>
        <w:pStyle w:val="Corpodetexto2"/>
        <w:spacing w:line="240" w:lineRule="auto"/>
        <w:jc w:val="center"/>
        <w:rPr>
          <w:b/>
          <w:sz w:val="22"/>
          <w:szCs w:val="22"/>
        </w:rPr>
      </w:pPr>
    </w:p>
    <w:p w14:paraId="44659C9B" w14:textId="77777777" w:rsidR="00F3768D" w:rsidRDefault="00F3768D">
      <w:pPr>
        <w:pStyle w:val="Corpodetexto2"/>
        <w:spacing w:line="240" w:lineRule="auto"/>
        <w:jc w:val="center"/>
        <w:rPr>
          <w:b/>
          <w:sz w:val="22"/>
          <w:szCs w:val="22"/>
        </w:rPr>
      </w:pPr>
    </w:p>
    <w:p w14:paraId="0935AD6B" w14:textId="77777777" w:rsidR="00F3768D" w:rsidRDefault="00F3768D">
      <w:pPr>
        <w:pStyle w:val="Corpodetexto2"/>
        <w:spacing w:line="240" w:lineRule="auto"/>
        <w:jc w:val="center"/>
        <w:rPr>
          <w:b/>
          <w:sz w:val="22"/>
          <w:szCs w:val="22"/>
        </w:rPr>
      </w:pPr>
    </w:p>
    <w:p w14:paraId="6B4AA3CE" w14:textId="77777777" w:rsidR="00F3768D" w:rsidRDefault="00F3768D">
      <w:pPr>
        <w:pStyle w:val="Corpodetexto2"/>
        <w:spacing w:line="240" w:lineRule="auto"/>
        <w:jc w:val="center"/>
        <w:rPr>
          <w:b/>
          <w:sz w:val="22"/>
          <w:szCs w:val="22"/>
        </w:rPr>
      </w:pPr>
    </w:p>
    <w:p w14:paraId="297B100C" w14:textId="77777777" w:rsidR="00F3768D" w:rsidRDefault="00F3768D">
      <w:pPr>
        <w:pStyle w:val="Corpodetexto2"/>
        <w:spacing w:line="240" w:lineRule="auto"/>
        <w:jc w:val="center"/>
        <w:rPr>
          <w:b/>
          <w:sz w:val="22"/>
          <w:szCs w:val="22"/>
        </w:rPr>
      </w:pPr>
    </w:p>
    <w:p w14:paraId="712359B9" w14:textId="77777777" w:rsidR="00F3768D" w:rsidRDefault="00F3768D">
      <w:pPr>
        <w:pStyle w:val="Corpodetexto2"/>
        <w:spacing w:line="240" w:lineRule="auto"/>
        <w:jc w:val="center"/>
        <w:rPr>
          <w:b/>
          <w:sz w:val="22"/>
          <w:szCs w:val="22"/>
        </w:rPr>
      </w:pPr>
    </w:p>
    <w:p w14:paraId="74360557" w14:textId="77777777" w:rsidR="00F3768D" w:rsidRDefault="00F3768D">
      <w:pPr>
        <w:pStyle w:val="Corpodetexto2"/>
        <w:spacing w:line="240" w:lineRule="auto"/>
        <w:jc w:val="center"/>
        <w:rPr>
          <w:b/>
          <w:sz w:val="22"/>
          <w:szCs w:val="22"/>
        </w:rPr>
      </w:pPr>
    </w:p>
    <w:p w14:paraId="5777D39D" w14:textId="77777777" w:rsidR="00F3768D" w:rsidRDefault="00F3768D">
      <w:pPr>
        <w:pStyle w:val="Corpodetexto2"/>
        <w:spacing w:line="240" w:lineRule="auto"/>
        <w:jc w:val="center"/>
        <w:rPr>
          <w:b/>
          <w:sz w:val="22"/>
          <w:szCs w:val="22"/>
        </w:rPr>
      </w:pPr>
    </w:p>
    <w:p w14:paraId="2AFE155D" w14:textId="77777777" w:rsidR="00F3768D" w:rsidRDefault="00F3768D">
      <w:pPr>
        <w:pStyle w:val="Corpodetexto2"/>
        <w:spacing w:line="240" w:lineRule="auto"/>
        <w:jc w:val="center"/>
        <w:rPr>
          <w:b/>
          <w:sz w:val="22"/>
          <w:szCs w:val="22"/>
        </w:rPr>
      </w:pPr>
    </w:p>
    <w:p w14:paraId="708656C4" w14:textId="77777777" w:rsidR="00F3768D" w:rsidRDefault="00F3768D">
      <w:pPr>
        <w:pStyle w:val="Corpodetexto2"/>
        <w:spacing w:line="240" w:lineRule="auto"/>
        <w:jc w:val="center"/>
        <w:rPr>
          <w:b/>
          <w:sz w:val="22"/>
          <w:szCs w:val="22"/>
        </w:rPr>
      </w:pPr>
    </w:p>
    <w:p w14:paraId="6CBB9011" w14:textId="77777777" w:rsidR="00F3768D" w:rsidRDefault="00F3768D">
      <w:pPr>
        <w:pStyle w:val="Corpodetexto2"/>
        <w:spacing w:line="240" w:lineRule="auto"/>
        <w:jc w:val="center"/>
        <w:rPr>
          <w:b/>
          <w:sz w:val="22"/>
          <w:szCs w:val="22"/>
        </w:rPr>
      </w:pPr>
    </w:p>
    <w:p w14:paraId="7292C78C" w14:textId="77777777" w:rsidR="00F3768D" w:rsidRDefault="00F3768D">
      <w:pPr>
        <w:pStyle w:val="Corpodetexto2"/>
        <w:spacing w:line="240" w:lineRule="auto"/>
        <w:jc w:val="center"/>
        <w:rPr>
          <w:b/>
          <w:sz w:val="22"/>
          <w:szCs w:val="22"/>
        </w:rPr>
      </w:pPr>
    </w:p>
    <w:p w14:paraId="03FE2AF1" w14:textId="77777777" w:rsidR="00F3768D" w:rsidRDefault="00F3768D">
      <w:pPr>
        <w:pStyle w:val="Corpodetexto2"/>
        <w:spacing w:line="240" w:lineRule="auto"/>
        <w:jc w:val="center"/>
        <w:rPr>
          <w:b/>
          <w:sz w:val="22"/>
          <w:szCs w:val="22"/>
        </w:rPr>
      </w:pPr>
    </w:p>
    <w:p w14:paraId="48C21460" w14:textId="60D6D71F" w:rsidR="00F3768D" w:rsidRDefault="00F3768D">
      <w:pPr>
        <w:pStyle w:val="Corpodetexto2"/>
        <w:spacing w:line="240" w:lineRule="auto"/>
        <w:jc w:val="center"/>
        <w:rPr>
          <w:b/>
          <w:sz w:val="22"/>
          <w:szCs w:val="22"/>
        </w:rPr>
      </w:pPr>
    </w:p>
    <w:p w14:paraId="2D07A737" w14:textId="19A6B27D" w:rsidR="00064547" w:rsidRDefault="00064547">
      <w:pPr>
        <w:pStyle w:val="Corpodetexto2"/>
        <w:spacing w:line="240" w:lineRule="auto"/>
        <w:jc w:val="center"/>
        <w:rPr>
          <w:b/>
          <w:sz w:val="22"/>
          <w:szCs w:val="22"/>
        </w:rPr>
      </w:pPr>
    </w:p>
    <w:p w14:paraId="2B1A2028" w14:textId="77777777" w:rsidR="00064547" w:rsidRDefault="00064547">
      <w:pPr>
        <w:pStyle w:val="Corpodetexto2"/>
        <w:spacing w:line="240" w:lineRule="auto"/>
        <w:jc w:val="center"/>
        <w:rPr>
          <w:b/>
          <w:sz w:val="22"/>
          <w:szCs w:val="22"/>
        </w:rPr>
      </w:pPr>
    </w:p>
    <w:p w14:paraId="589482E3" w14:textId="77777777" w:rsidR="00F3768D" w:rsidRDefault="00F3768D">
      <w:pPr>
        <w:pStyle w:val="Corpodetexto2"/>
        <w:spacing w:line="240" w:lineRule="auto"/>
        <w:jc w:val="center"/>
        <w:rPr>
          <w:b/>
          <w:sz w:val="22"/>
          <w:szCs w:val="22"/>
        </w:rPr>
      </w:pPr>
    </w:p>
    <w:p w14:paraId="546E1A67" w14:textId="77777777" w:rsidR="00F3768D" w:rsidRDefault="00F3768D">
      <w:pPr>
        <w:pStyle w:val="Corpodetexto2"/>
        <w:spacing w:line="240" w:lineRule="auto"/>
        <w:jc w:val="center"/>
        <w:rPr>
          <w:b/>
          <w:sz w:val="22"/>
          <w:szCs w:val="22"/>
        </w:rPr>
      </w:pPr>
    </w:p>
    <w:p w14:paraId="1EF7B664" w14:textId="77777777" w:rsidR="00F3768D" w:rsidRDefault="00F3768D">
      <w:pPr>
        <w:pStyle w:val="Corpodetexto2"/>
        <w:spacing w:line="240" w:lineRule="auto"/>
        <w:jc w:val="center"/>
        <w:rPr>
          <w:b/>
          <w:sz w:val="22"/>
          <w:szCs w:val="22"/>
        </w:rPr>
      </w:pPr>
    </w:p>
    <w:p w14:paraId="201CCD0F" w14:textId="77777777" w:rsidR="00F3768D" w:rsidRDefault="00F3768D">
      <w:pPr>
        <w:pStyle w:val="Corpodetexto2"/>
        <w:spacing w:line="240" w:lineRule="auto"/>
        <w:jc w:val="center"/>
        <w:rPr>
          <w:b/>
          <w:sz w:val="22"/>
          <w:szCs w:val="22"/>
        </w:rPr>
      </w:pPr>
    </w:p>
    <w:p w14:paraId="0BF36ACE" w14:textId="77777777" w:rsidR="00F3768D" w:rsidRDefault="00F3768D">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145516B6" w14:textId="77777777" w:rsidR="00F3768D" w:rsidRDefault="00064547">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48"/>
          <w:szCs w:val="48"/>
        </w:rPr>
      </w:pPr>
      <w:r>
        <w:rPr>
          <w:b/>
          <w:bCs/>
          <w:sz w:val="40"/>
          <w:szCs w:val="40"/>
        </w:rPr>
        <w:t xml:space="preserve">DA </w:t>
      </w:r>
      <w:r>
        <w:rPr>
          <w:b/>
          <w:bCs/>
          <w:sz w:val="40"/>
          <w:szCs w:val="40"/>
        </w:rPr>
        <w:t>JUSTIFICATIVA</w:t>
      </w:r>
    </w:p>
    <w:p w14:paraId="1F550E99" w14:textId="77777777" w:rsidR="00F3768D" w:rsidRDefault="00F3768D">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1D1DCC31" w14:textId="77777777" w:rsidR="00F3768D" w:rsidRDefault="00064547">
      <w:pPr>
        <w:pStyle w:val="Default"/>
        <w:rPr>
          <w:rFonts w:ascii="Verdana" w:hAnsi="Verdana" w:cs="Times New Roman"/>
        </w:rPr>
      </w:pPr>
      <w:r>
        <w:rPr>
          <w:rFonts w:ascii="Verdana" w:hAnsi="Verdana" w:cs="Times New Roman"/>
          <w:b/>
          <w:bCs/>
          <w:sz w:val="22"/>
          <w:szCs w:val="22"/>
        </w:rPr>
        <w:tab/>
      </w:r>
    </w:p>
    <w:p w14:paraId="1B2F27A7" w14:textId="77777777" w:rsidR="00F3768D" w:rsidRDefault="00F3768D">
      <w:pPr>
        <w:pStyle w:val="Corpodetextorecuado"/>
        <w:ind w:firstLine="737"/>
        <w:jc w:val="both"/>
        <w:rPr>
          <w:sz w:val="22"/>
          <w:szCs w:val="22"/>
        </w:rPr>
      </w:pPr>
    </w:p>
    <w:p w14:paraId="7B10FFD1" w14:textId="77777777" w:rsidR="00F3768D" w:rsidRDefault="00064547">
      <w:pPr>
        <w:pStyle w:val="Corpodetextorecuado"/>
        <w:ind w:firstLine="737"/>
        <w:jc w:val="both"/>
        <w:rPr>
          <w:sz w:val="22"/>
          <w:szCs w:val="22"/>
        </w:rPr>
      </w:pPr>
      <w:r>
        <w:rPr>
          <w:sz w:val="22"/>
          <w:szCs w:val="22"/>
        </w:rPr>
        <w:t>Senhor Presidente,</w:t>
      </w:r>
    </w:p>
    <w:p w14:paraId="5632E012" w14:textId="77777777" w:rsidR="00F3768D" w:rsidRDefault="00064547">
      <w:pPr>
        <w:pStyle w:val="Corpodetextorecuado"/>
        <w:ind w:firstLine="737"/>
        <w:jc w:val="both"/>
        <w:rPr>
          <w:sz w:val="22"/>
          <w:szCs w:val="22"/>
        </w:rPr>
      </w:pPr>
      <w:r>
        <w:rPr>
          <w:sz w:val="22"/>
          <w:szCs w:val="22"/>
        </w:rPr>
        <w:t>Senhores Vereadores,</w:t>
      </w:r>
    </w:p>
    <w:p w14:paraId="78CB0926" w14:textId="77777777" w:rsidR="00F3768D" w:rsidRDefault="00F3768D">
      <w:pPr>
        <w:pStyle w:val="Corpodetextorecuado"/>
        <w:ind w:firstLine="737"/>
        <w:jc w:val="both"/>
        <w:rPr>
          <w:sz w:val="22"/>
          <w:szCs w:val="22"/>
        </w:rPr>
      </w:pPr>
    </w:p>
    <w:p w14:paraId="202AE540" w14:textId="77777777" w:rsidR="00F3768D" w:rsidRDefault="00064547">
      <w:pPr>
        <w:pStyle w:val="Corpodetextorecuado"/>
        <w:ind w:firstLine="737"/>
        <w:jc w:val="both"/>
      </w:pPr>
      <w:r>
        <w:rPr>
          <w:sz w:val="22"/>
          <w:szCs w:val="22"/>
        </w:rPr>
        <w:t xml:space="preserve">Tenho a honra de submeter à apreciação dessa Egrégia Câmara Municipal o presente Projeto de Lei, que altera e acrescenta dispositivos à Lei Complementar Municipal 031/2010, o Código </w:t>
      </w:r>
      <w:r>
        <w:rPr>
          <w:sz w:val="22"/>
          <w:szCs w:val="22"/>
        </w:rPr>
        <w:t xml:space="preserve">Tributário do Município de Carmo do Cajuru, visando corrigir distorções da legislação tributária que impedem uma atuação mais justa do Poder Público Municipal e, também, promover as necessárias adequações do </w:t>
      </w:r>
      <w:proofErr w:type="spellStart"/>
      <w:r>
        <w:rPr>
          <w:sz w:val="22"/>
          <w:szCs w:val="22"/>
        </w:rPr>
        <w:t>ISSQN</w:t>
      </w:r>
      <w:proofErr w:type="spellEnd"/>
      <w:r>
        <w:rPr>
          <w:sz w:val="22"/>
          <w:szCs w:val="22"/>
        </w:rPr>
        <w:t xml:space="preserve"> com o advento da Lei Complementar Federal </w:t>
      </w:r>
      <w:r>
        <w:rPr>
          <w:sz w:val="22"/>
          <w:szCs w:val="22"/>
        </w:rPr>
        <w:t>175/2020.</w:t>
      </w:r>
    </w:p>
    <w:p w14:paraId="28A99833" w14:textId="77777777" w:rsidR="00F3768D" w:rsidRDefault="00F3768D">
      <w:pPr>
        <w:pStyle w:val="Corpodetextorecuado"/>
        <w:jc w:val="both"/>
        <w:rPr>
          <w:sz w:val="22"/>
          <w:szCs w:val="22"/>
        </w:rPr>
      </w:pPr>
    </w:p>
    <w:p w14:paraId="0D40AF1A" w14:textId="77777777" w:rsidR="00F3768D" w:rsidRDefault="00064547">
      <w:pPr>
        <w:pStyle w:val="Corpodetextorecuado"/>
        <w:jc w:val="both"/>
      </w:pPr>
      <w:r>
        <w:rPr>
          <w:sz w:val="22"/>
          <w:szCs w:val="22"/>
        </w:rPr>
        <w:t>Nesse sentido, apesar de não muito antigo, o Código Tributário Municipal contém incongruências que limitam a atuação do Poder Público na constante busca pelo bem-estar social da população e a tão sonhada justiça tributária. Por isso, um dos obje</w:t>
      </w:r>
      <w:r>
        <w:rPr>
          <w:sz w:val="22"/>
          <w:szCs w:val="22"/>
        </w:rPr>
        <w:t>tivos é, por exemplo, instituir o “Programa Bom Pagador”, que tem por precípua tarefa incentivar o contribuinte do IPTU a manter-se em dia e sempre quite com o Fisco Municipal.</w:t>
      </w:r>
    </w:p>
    <w:p w14:paraId="058A325E" w14:textId="77777777" w:rsidR="00F3768D" w:rsidRDefault="00F3768D">
      <w:pPr>
        <w:pStyle w:val="Corpodetextorecuado"/>
        <w:jc w:val="both"/>
        <w:rPr>
          <w:sz w:val="22"/>
          <w:szCs w:val="22"/>
        </w:rPr>
      </w:pPr>
    </w:p>
    <w:p w14:paraId="21BB0349" w14:textId="77777777" w:rsidR="00F3768D" w:rsidRDefault="00064547">
      <w:pPr>
        <w:pStyle w:val="Corpodetextorecuado"/>
        <w:jc w:val="both"/>
        <w:rPr>
          <w:sz w:val="22"/>
          <w:szCs w:val="22"/>
        </w:rPr>
      </w:pPr>
      <w:r>
        <w:rPr>
          <w:sz w:val="22"/>
          <w:szCs w:val="22"/>
        </w:rPr>
        <w:t>Uma outra mudança simples, mas significativa em termos de justiça para com a p</w:t>
      </w:r>
      <w:r>
        <w:rPr>
          <w:sz w:val="22"/>
          <w:szCs w:val="22"/>
        </w:rPr>
        <w:t>opulação, é a alteração do índice de correção das taxas, multas e bases de cálculo de impostos devidos à municipalidade, que antes era o IGP-M/FGV e, agora, passa a ser o IPCA/IBGE, uma vez que o IGP-M é utilizado hodiernamente para a correção de contratos</w:t>
      </w:r>
      <w:r>
        <w:rPr>
          <w:sz w:val="22"/>
          <w:szCs w:val="22"/>
        </w:rPr>
        <w:t xml:space="preserve"> de aluguel e não reflete a real inflação geral do país.</w:t>
      </w:r>
    </w:p>
    <w:p w14:paraId="1E79D7C5" w14:textId="77777777" w:rsidR="00F3768D" w:rsidRDefault="00F3768D">
      <w:pPr>
        <w:pStyle w:val="Corpodetextorecuado"/>
        <w:jc w:val="both"/>
        <w:rPr>
          <w:sz w:val="22"/>
          <w:szCs w:val="22"/>
        </w:rPr>
      </w:pPr>
    </w:p>
    <w:p w14:paraId="435768A6" w14:textId="77777777" w:rsidR="00F3768D" w:rsidRDefault="00064547">
      <w:pPr>
        <w:pStyle w:val="Corpodetextorecuado"/>
        <w:jc w:val="both"/>
      </w:pPr>
      <w:r>
        <w:rPr>
          <w:sz w:val="22"/>
          <w:szCs w:val="22"/>
        </w:rPr>
        <w:t xml:space="preserve">Na mesma oportunidade, propomos uma alteração do dispositivo que diz respeito ao parcelamento ordinário de débitos tributários, visando possibilitar que as autarquias municipais, </w:t>
      </w:r>
      <w:r>
        <w:rPr>
          <w:sz w:val="22"/>
          <w:szCs w:val="22"/>
        </w:rPr>
        <w:t xml:space="preserve">principalmente o SAAE, possam parcelar débitos </w:t>
      </w:r>
      <w:r>
        <w:rPr>
          <w:sz w:val="22"/>
          <w:szCs w:val="22"/>
        </w:rPr>
        <w:lastRenderedPageBreak/>
        <w:t>tarifários sem comprometer a renda das famílias cajuruenses, auxiliando e tornando viáveis instrumentos permanentes de redução da inadimplência.</w:t>
      </w:r>
    </w:p>
    <w:p w14:paraId="0B56781B" w14:textId="77777777" w:rsidR="00F3768D" w:rsidRDefault="00F3768D">
      <w:pPr>
        <w:pStyle w:val="Corpodetextorecuado"/>
        <w:jc w:val="both"/>
        <w:rPr>
          <w:sz w:val="22"/>
          <w:szCs w:val="22"/>
        </w:rPr>
      </w:pPr>
    </w:p>
    <w:p w14:paraId="0F4A6872" w14:textId="77777777" w:rsidR="00F3768D" w:rsidRDefault="00064547">
      <w:pPr>
        <w:pStyle w:val="Corpodetextorecuado"/>
        <w:jc w:val="both"/>
      </w:pPr>
      <w:r>
        <w:rPr>
          <w:sz w:val="22"/>
          <w:szCs w:val="22"/>
        </w:rPr>
        <w:t xml:space="preserve">Por fim, as alterações decorrentes da LC 175/2020 precisam ser </w:t>
      </w:r>
      <w:r>
        <w:rPr>
          <w:sz w:val="22"/>
          <w:szCs w:val="22"/>
        </w:rPr>
        <w:t xml:space="preserve">todas introduzidas no nosso Código Tributário Municipal, o que ora propomos, para que a municipalidade não perca receitas decorrentes de modificações na tributação do </w:t>
      </w:r>
      <w:proofErr w:type="spellStart"/>
      <w:r>
        <w:rPr>
          <w:sz w:val="22"/>
          <w:szCs w:val="22"/>
        </w:rPr>
        <w:t>ISSQN</w:t>
      </w:r>
      <w:proofErr w:type="spellEnd"/>
      <w:r>
        <w:rPr>
          <w:sz w:val="22"/>
          <w:szCs w:val="22"/>
        </w:rPr>
        <w:t>.</w:t>
      </w:r>
    </w:p>
    <w:p w14:paraId="34959F94" w14:textId="77777777" w:rsidR="00F3768D" w:rsidRDefault="00064547">
      <w:pPr>
        <w:pStyle w:val="Corpodetextorecuado"/>
        <w:jc w:val="both"/>
      </w:pPr>
      <w:r>
        <w:rPr>
          <w:sz w:val="22"/>
          <w:szCs w:val="22"/>
        </w:rPr>
        <w:t>Assim, com a esperada aprovação do presente Projeto de Lei, esperamos conseguir me</w:t>
      </w:r>
      <w:r>
        <w:rPr>
          <w:sz w:val="22"/>
          <w:szCs w:val="22"/>
        </w:rPr>
        <w:t>lhorar os índices de adimplência dos contribuintes do IPTU, bem como melhorar consideravelmente os trâmites administrativos tributários, desburocratizando o pagamento.</w:t>
      </w:r>
    </w:p>
    <w:p w14:paraId="6B17B326" w14:textId="77777777" w:rsidR="00F3768D" w:rsidRDefault="00F3768D">
      <w:pPr>
        <w:pStyle w:val="Corpodetextorecuado"/>
        <w:jc w:val="both"/>
        <w:rPr>
          <w:sz w:val="22"/>
          <w:szCs w:val="22"/>
        </w:rPr>
      </w:pPr>
    </w:p>
    <w:p w14:paraId="0740B677" w14:textId="77777777" w:rsidR="00F3768D" w:rsidRDefault="00064547">
      <w:pPr>
        <w:pStyle w:val="Corpodetextorecuado"/>
        <w:jc w:val="both"/>
        <w:rPr>
          <w:sz w:val="22"/>
          <w:szCs w:val="22"/>
        </w:rPr>
      </w:pPr>
      <w:r>
        <w:rPr>
          <w:sz w:val="22"/>
          <w:szCs w:val="22"/>
        </w:rPr>
        <w:t>Na oportunidade, renovo protestos de elevada estima e distinta consideração.</w:t>
      </w:r>
    </w:p>
    <w:p w14:paraId="58A497DF" w14:textId="77777777" w:rsidR="00F3768D" w:rsidRDefault="00F3768D">
      <w:pPr>
        <w:pStyle w:val="Corpodetextorecuado"/>
        <w:jc w:val="both"/>
        <w:rPr>
          <w:sz w:val="22"/>
          <w:szCs w:val="22"/>
        </w:rPr>
      </w:pPr>
    </w:p>
    <w:p w14:paraId="3D631908" w14:textId="77777777" w:rsidR="00F3768D" w:rsidRDefault="00064547">
      <w:pPr>
        <w:pStyle w:val="Corpodetextorecuado"/>
        <w:jc w:val="both"/>
        <w:rPr>
          <w:bCs/>
          <w:sz w:val="22"/>
        </w:rPr>
      </w:pPr>
      <w:r>
        <w:rPr>
          <w:bCs/>
          <w:sz w:val="22"/>
          <w:szCs w:val="22"/>
        </w:rPr>
        <w:t>Cordialme</w:t>
      </w:r>
      <w:r>
        <w:rPr>
          <w:bCs/>
          <w:sz w:val="22"/>
          <w:szCs w:val="22"/>
        </w:rPr>
        <w:t>nte,</w:t>
      </w:r>
    </w:p>
    <w:p w14:paraId="1DC42BA3" w14:textId="77777777" w:rsidR="00F3768D" w:rsidRDefault="00F3768D">
      <w:pPr>
        <w:pStyle w:val="Corpodetextorecuado"/>
        <w:jc w:val="both"/>
        <w:rPr>
          <w:sz w:val="22"/>
          <w:szCs w:val="22"/>
        </w:rPr>
      </w:pPr>
    </w:p>
    <w:p w14:paraId="09CADCFE" w14:textId="3ABCCD80" w:rsidR="00F3768D" w:rsidRDefault="00064547">
      <w:pPr>
        <w:pStyle w:val="Corpodetextorecuado"/>
        <w:jc w:val="both"/>
      </w:pPr>
      <w:r>
        <w:rPr>
          <w:sz w:val="22"/>
          <w:szCs w:val="22"/>
        </w:rPr>
        <w:t>Carmo do Cajuru, 19</w:t>
      </w:r>
      <w:r>
        <w:rPr>
          <w:sz w:val="22"/>
          <w:szCs w:val="22"/>
        </w:rPr>
        <w:t xml:space="preserve"> de novembro de 2020.</w:t>
      </w:r>
    </w:p>
    <w:p w14:paraId="468CA868" w14:textId="77777777" w:rsidR="00F3768D" w:rsidRDefault="00F3768D">
      <w:pPr>
        <w:pStyle w:val="Corpodetextorecuado"/>
        <w:jc w:val="both"/>
        <w:rPr>
          <w:sz w:val="22"/>
          <w:szCs w:val="22"/>
        </w:rPr>
      </w:pPr>
    </w:p>
    <w:p w14:paraId="1D257719" w14:textId="77777777" w:rsidR="00F3768D" w:rsidRDefault="00F3768D">
      <w:pPr>
        <w:pStyle w:val="Corpodetextorecuado"/>
        <w:jc w:val="both"/>
        <w:rPr>
          <w:sz w:val="22"/>
          <w:szCs w:val="22"/>
        </w:rPr>
      </w:pPr>
    </w:p>
    <w:p w14:paraId="4156C157" w14:textId="77777777" w:rsidR="00F3768D" w:rsidRDefault="00064547">
      <w:pPr>
        <w:pStyle w:val="Corpodetextorecuado"/>
        <w:spacing w:line="240" w:lineRule="auto"/>
        <w:ind w:firstLine="0"/>
        <w:rPr>
          <w:b/>
          <w:sz w:val="22"/>
        </w:rPr>
      </w:pPr>
      <w:r>
        <w:rPr>
          <w:b/>
          <w:sz w:val="22"/>
          <w:szCs w:val="22"/>
        </w:rPr>
        <w:t>Edson de Souza Vilela</w:t>
      </w:r>
    </w:p>
    <w:p w14:paraId="3843F67B" w14:textId="77777777" w:rsidR="00F3768D" w:rsidRDefault="00064547">
      <w:pPr>
        <w:pStyle w:val="Corpodetextorecuado"/>
        <w:spacing w:line="240" w:lineRule="auto"/>
        <w:ind w:firstLine="0"/>
        <w:rPr>
          <w:sz w:val="22"/>
          <w:szCs w:val="22"/>
        </w:rPr>
      </w:pPr>
      <w:r>
        <w:rPr>
          <w:b/>
          <w:sz w:val="22"/>
          <w:szCs w:val="22"/>
        </w:rPr>
        <w:t>Prefeito de Carmo do Cajuru</w:t>
      </w:r>
    </w:p>
    <w:p w14:paraId="2253984A" w14:textId="77777777" w:rsidR="00F3768D" w:rsidRDefault="00F3768D">
      <w:pPr>
        <w:pStyle w:val="Corpodetexto2"/>
        <w:spacing w:line="240" w:lineRule="auto"/>
        <w:jc w:val="center"/>
      </w:pPr>
    </w:p>
    <w:sectPr w:rsidR="00F3768D">
      <w:pgSz w:w="11906" w:h="16838"/>
      <w:pgMar w:top="2381"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font>
  <w:font w:name="Open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8D"/>
    <w:rsid w:val="00064547"/>
    <w:rsid w:val="00F3768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A2DD"/>
  <w15:docId w15:val="{5D1F8C42-89C0-4015-AA5F-EA55D099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BA"/>
    <w:pPr>
      <w:suppressAutoHyphens/>
      <w:spacing w:after="200" w:line="276" w:lineRule="auto"/>
    </w:pPr>
    <w:rPr>
      <w:rFonts w:cs="Times New Roman"/>
      <w:color w:val="00000A"/>
      <w:sz w:val="22"/>
    </w:rPr>
  </w:style>
  <w:style w:type="paragraph" w:styleId="Ttulo1">
    <w:name w:val="heading 1"/>
    <w:basedOn w:val="Normal"/>
    <w:next w:val="Normal"/>
    <w:link w:val="Ttulo1Char"/>
    <w:uiPriority w:val="9"/>
    <w:qFormat/>
    <w:rsid w:val="00694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Ttulo"/>
    <w:pPr>
      <w:outlineLvl w:val="1"/>
    </w:pPr>
  </w:style>
  <w:style w:type="paragraph" w:styleId="Ttulo3">
    <w:name w:val="heading 3"/>
    <w:basedOn w:val="Ttulo"/>
    <w:pPr>
      <w:outlineLvl w:val="2"/>
    </w:pPr>
  </w:style>
  <w:style w:type="paragraph" w:styleId="Ttulo7">
    <w:name w:val="heading 7"/>
    <w:basedOn w:val="Normal"/>
    <w:next w:val="Normal"/>
    <w:link w:val="Ttulo7Char"/>
    <w:qFormat/>
    <w:rsid w:val="00620CBA"/>
    <w:pPr>
      <w:keepNext/>
      <w:pBdr>
        <w:top w:val="single" w:sz="4" w:space="1" w:color="00000A"/>
        <w:left w:val="single" w:sz="4" w:space="4" w:color="00000A"/>
        <w:bottom w:val="single" w:sz="4" w:space="1" w:color="00000A"/>
        <w:right w:val="single" w:sz="4" w:space="4" w:color="00000A"/>
      </w:pBdr>
      <w:shd w:val="clear" w:color="auto" w:fill="E6E6E6"/>
      <w:spacing w:after="0" w:line="360" w:lineRule="auto"/>
      <w:jc w:val="center"/>
      <w:outlineLvl w:val="6"/>
    </w:pPr>
    <w:rPr>
      <w:rFonts w:ascii="Verdana" w:eastAsia="Times New Roman" w:hAnsi="Verdana"/>
      <w:b/>
      <w:sz w:val="40"/>
      <w:szCs w:val="20"/>
      <w:lang w:eastAsia="pt-BR"/>
    </w:rPr>
  </w:style>
  <w:style w:type="paragraph" w:styleId="Ttulo8">
    <w:name w:val="heading 8"/>
    <w:basedOn w:val="Normal"/>
    <w:next w:val="Normal"/>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620CBA"/>
    <w:rPr>
      <w:rFonts w:ascii="Verdana" w:eastAsia="Times New Roman" w:hAnsi="Verdana" w:cs="Times New Roman"/>
      <w:sz w:val="40"/>
      <w:szCs w:val="20"/>
      <w:shd w:val="clear" w:color="auto" w:fill="E6E6E6"/>
      <w:lang w:eastAsia="pt-BR"/>
    </w:rPr>
  </w:style>
  <w:style w:type="character" w:customStyle="1" w:styleId="CabealhoChar">
    <w:name w:val="Cabeçalho Char"/>
    <w:basedOn w:val="Fontepargpadro"/>
    <w:link w:val="Cabealho"/>
    <w:uiPriority w:val="99"/>
    <w:qFormat/>
    <w:rsid w:val="00620CBA"/>
    <w:rPr>
      <w:rFonts w:ascii="Calibri" w:eastAsia="Calibri" w:hAnsi="Calibri" w:cs="Times New Roman"/>
    </w:rPr>
  </w:style>
  <w:style w:type="character" w:customStyle="1" w:styleId="RodapChar">
    <w:name w:val="Rodapé Char"/>
    <w:basedOn w:val="Fontepargpadro"/>
    <w:link w:val="Rodap"/>
    <w:uiPriority w:val="99"/>
    <w:qFormat/>
    <w:rsid w:val="00620CBA"/>
    <w:rPr>
      <w:rFonts w:ascii="Calibri" w:eastAsia="Calibri" w:hAnsi="Calibri" w:cs="Times New Roman"/>
    </w:rPr>
  </w:style>
  <w:style w:type="character" w:customStyle="1" w:styleId="Corpodetexto2Char">
    <w:name w:val="Corpo de texto 2 Char"/>
    <w:basedOn w:val="Fontepargpadro"/>
    <w:link w:val="Corpodetexto2"/>
    <w:qFormat/>
    <w:rsid w:val="00620CBA"/>
    <w:rPr>
      <w:rFonts w:ascii="Verdana" w:eastAsia="Times New Roman" w:hAnsi="Verdana" w:cs="Times New Roman"/>
      <w:sz w:val="24"/>
      <w:szCs w:val="20"/>
      <w:lang w:eastAsia="pt-BR"/>
    </w:rPr>
  </w:style>
  <w:style w:type="character" w:customStyle="1" w:styleId="RecuodecorpodetextoChar">
    <w:name w:val="Recuo de corpo de texto Char"/>
    <w:basedOn w:val="Fontepargpadro"/>
    <w:link w:val="Corpodetextorecuado"/>
    <w:qFormat/>
    <w:rsid w:val="00620CBA"/>
    <w:rPr>
      <w:rFonts w:ascii="Verdana" w:eastAsia="Times New Roman" w:hAnsi="Verdana" w:cs="Times New Roman"/>
      <w:sz w:val="96"/>
      <w:szCs w:val="20"/>
      <w:lang w:eastAsia="pt-BR"/>
    </w:rPr>
  </w:style>
  <w:style w:type="character" w:customStyle="1" w:styleId="Ttulo1Char">
    <w:name w:val="Título 1 Char"/>
    <w:basedOn w:val="Fontepargpadro"/>
    <w:link w:val="Ttulo1"/>
    <w:uiPriority w:val="9"/>
    <w:qFormat/>
    <w:rsid w:val="00694F38"/>
    <w:rPr>
      <w:rFonts w:asciiTheme="majorHAnsi" w:eastAsiaTheme="majorEastAsia" w:hAnsiTheme="majorHAnsi" w:cstheme="majorBidi"/>
      <w:b/>
      <w:bCs/>
      <w:color w:val="2E74B5" w:themeColor="accent1" w:themeShade="BF"/>
      <w:sz w:val="28"/>
      <w:szCs w:val="28"/>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620CBA"/>
    <w:pPr>
      <w:tabs>
        <w:tab w:val="center" w:pos="4252"/>
        <w:tab w:val="right" w:pos="8504"/>
      </w:tabs>
      <w:spacing w:after="0" w:line="240" w:lineRule="auto"/>
    </w:pPr>
  </w:style>
  <w:style w:type="paragraph" w:styleId="Rodap">
    <w:name w:val="footer"/>
    <w:basedOn w:val="Normal"/>
    <w:link w:val="RodapChar"/>
    <w:uiPriority w:val="99"/>
    <w:unhideWhenUsed/>
    <w:rsid w:val="00620CBA"/>
    <w:pPr>
      <w:tabs>
        <w:tab w:val="center" w:pos="4252"/>
        <w:tab w:val="right" w:pos="8504"/>
      </w:tabs>
      <w:spacing w:after="0" w:line="240" w:lineRule="auto"/>
    </w:pPr>
  </w:style>
  <w:style w:type="paragraph" w:styleId="Corpodetexto2">
    <w:name w:val="Body Text 2"/>
    <w:basedOn w:val="Normal"/>
    <w:link w:val="Corpodetexto2Char"/>
    <w:qFormat/>
    <w:rsid w:val="00620CBA"/>
    <w:pPr>
      <w:spacing w:after="0" w:line="360" w:lineRule="auto"/>
      <w:jc w:val="both"/>
    </w:pPr>
    <w:rPr>
      <w:rFonts w:ascii="Verdana" w:eastAsia="Times New Roman" w:hAnsi="Verdana"/>
      <w:sz w:val="24"/>
      <w:szCs w:val="20"/>
      <w:lang w:eastAsia="pt-BR"/>
    </w:rPr>
  </w:style>
  <w:style w:type="paragraph" w:customStyle="1" w:styleId="Corpodetextorecuado">
    <w:name w:val="Corpo de texto recuado"/>
    <w:basedOn w:val="Normal"/>
    <w:link w:val="RecuodecorpodetextoChar"/>
    <w:rsid w:val="00620CBA"/>
    <w:pPr>
      <w:spacing w:after="0" w:line="360" w:lineRule="auto"/>
      <w:ind w:firstLine="708"/>
      <w:jc w:val="center"/>
    </w:pPr>
    <w:rPr>
      <w:rFonts w:ascii="Verdana" w:eastAsia="Times New Roman" w:hAnsi="Verdana"/>
      <w:sz w:val="96"/>
      <w:szCs w:val="20"/>
      <w:lang w:eastAsia="pt-BR"/>
    </w:rPr>
  </w:style>
  <w:style w:type="paragraph" w:customStyle="1" w:styleId="Default">
    <w:name w:val="Default"/>
    <w:qFormat/>
    <w:rsid w:val="00620CBA"/>
    <w:pPr>
      <w:suppressAutoHyphens/>
      <w:spacing w:line="240" w:lineRule="auto"/>
    </w:pPr>
    <w:rPr>
      <w:rFonts w:ascii="Book Antiqua" w:eastAsia="Calibri" w:hAnsi="Book Antiqua" w:cs="Book Antiqua"/>
      <w:color w:val="000000"/>
      <w:sz w:val="24"/>
      <w:szCs w:val="24"/>
      <w:lang w:eastAsia="pt-BR"/>
    </w:rPr>
  </w:style>
  <w:style w:type="paragraph" w:customStyle="1" w:styleId="Standard">
    <w:name w:val="Standard"/>
    <w:qFormat/>
    <w:rsid w:val="00BF623E"/>
    <w:pPr>
      <w:widowControl w:val="0"/>
      <w:suppressAutoHyphens/>
      <w:spacing w:line="240" w:lineRule="auto"/>
      <w:textAlignment w:val="baseline"/>
    </w:pPr>
    <w:rPr>
      <w:rFonts w:ascii="Liberation Serif" w:eastAsia="SimSun" w:hAnsi="Liberation Serif" w:cs="Mangal"/>
      <w:color w:val="00000A"/>
      <w:sz w:val="24"/>
      <w:szCs w:val="24"/>
      <w:lang w:eastAsia="zh-CN" w:bidi="hi-IN"/>
    </w:rPr>
  </w:style>
  <w:style w:type="paragraph" w:styleId="NormalWeb">
    <w:name w:val="Normal (Web)"/>
    <w:basedOn w:val="Standard"/>
    <w:qFormat/>
    <w:rsid w:val="00BF623E"/>
    <w:pPr>
      <w:spacing w:before="280" w:after="280"/>
    </w:pPr>
    <w:rPr>
      <w:rFonts w:ascii="Arial Unicode MS" w:eastAsia="Arial Unicode MS" w:hAnsi="Arial Unicode MS" w:cs="Arial Unicode MS"/>
      <w:color w:val="000000"/>
    </w:rPr>
  </w:style>
  <w:style w:type="paragraph" w:customStyle="1" w:styleId="Recuodecorpodetexto31">
    <w:name w:val="Recuo de corpo de texto 31"/>
    <w:basedOn w:val="Standard"/>
    <w:qFormat/>
    <w:rsid w:val="00BF623E"/>
    <w:pPr>
      <w:spacing w:after="120"/>
      <w:ind w:left="283"/>
    </w:pPr>
    <w:rPr>
      <w:sz w:val="16"/>
      <w:szCs w:val="16"/>
    </w:r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1659</Words>
  <Characters>8961</Characters>
  <Application>Microsoft Office Word</Application>
  <DocSecurity>0</DocSecurity>
  <Lines>74</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Carmo do Cajuru</cp:lastModifiedBy>
  <cp:revision>2</cp:revision>
  <cp:lastPrinted>2020-11-17T14:49:00Z</cp:lastPrinted>
  <dcterms:created xsi:type="dcterms:W3CDTF">2020-11-19T11:19:00Z</dcterms:created>
  <dcterms:modified xsi:type="dcterms:W3CDTF">2020-11-19T11:19:00Z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