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96" w:rsidRPr="00EA7F06" w:rsidRDefault="00873396" w:rsidP="00873396">
      <w:pPr>
        <w:pStyle w:val="Ttulo7"/>
        <w:pBdr>
          <w:left w:val="single" w:sz="4" w:space="0" w:color="auto"/>
          <w:right w:val="single" w:sz="4" w:space="0" w:color="auto"/>
        </w:pBdr>
        <w:spacing w:line="276" w:lineRule="auto"/>
        <w:rPr>
          <w:sz w:val="28"/>
          <w:szCs w:val="24"/>
        </w:rPr>
      </w:pPr>
      <w:r w:rsidRPr="00EA7F06">
        <w:rPr>
          <w:sz w:val="28"/>
          <w:szCs w:val="24"/>
        </w:rPr>
        <w:t>PROJETO DE LEI N° ___</w:t>
      </w:r>
      <w:r w:rsidRPr="00EA7F06">
        <w:rPr>
          <w:sz w:val="28"/>
          <w:szCs w:val="24"/>
        </w:rPr>
        <w:softHyphen/>
      </w:r>
      <w:r w:rsidRPr="00EA7F06">
        <w:rPr>
          <w:sz w:val="28"/>
          <w:szCs w:val="24"/>
        </w:rPr>
        <w:softHyphen/>
        <w:t>/2025</w:t>
      </w:r>
    </w:p>
    <w:p w:rsidR="00873396" w:rsidRPr="00EA7F06" w:rsidRDefault="00873396" w:rsidP="00873396">
      <w:pPr>
        <w:rPr>
          <w:rFonts w:ascii="Verdana" w:hAnsi="Verdana"/>
          <w:sz w:val="24"/>
          <w:szCs w:val="24"/>
        </w:rPr>
      </w:pPr>
    </w:p>
    <w:p w:rsidR="00873396" w:rsidRPr="00EA7F06" w:rsidRDefault="00873396" w:rsidP="00873396">
      <w:pPr>
        <w:rPr>
          <w:rFonts w:ascii="Verdana" w:hAnsi="Verdana"/>
          <w:sz w:val="24"/>
          <w:szCs w:val="24"/>
        </w:rPr>
      </w:pPr>
    </w:p>
    <w:p w:rsidR="00822D09" w:rsidRPr="00EA7F06" w:rsidRDefault="009D4C8F" w:rsidP="00EA7F06">
      <w:pPr>
        <w:ind w:left="3402"/>
        <w:jc w:val="both"/>
        <w:rPr>
          <w:rFonts w:ascii="Verdana" w:hAnsi="Verdana"/>
          <w:b/>
          <w:szCs w:val="24"/>
        </w:rPr>
      </w:pPr>
      <w:r w:rsidRPr="00EA7F06">
        <w:rPr>
          <w:rFonts w:ascii="Verdana" w:hAnsi="Verdana"/>
          <w:b/>
          <w:szCs w:val="24"/>
        </w:rPr>
        <w:t>“DISPOE SOBRE A AUTORIZAÇÃO DE DIVULGAÇÃO DE LISTAGENS DE PACIENTES QUE AGUARDAM POR CONSULTAS COM ESPECIALISTAS, EXAMES E CIRURGIAS NA REDE PÚBLICA E DÁ OUTRAS PROVIDÊNCIAS.”</w:t>
      </w:r>
    </w:p>
    <w:p w:rsidR="00822D09" w:rsidRPr="00EA7F06" w:rsidRDefault="00822D09" w:rsidP="00873396">
      <w:pPr>
        <w:rPr>
          <w:rFonts w:ascii="Verdana" w:hAnsi="Verdana"/>
          <w:sz w:val="24"/>
          <w:szCs w:val="24"/>
        </w:rPr>
      </w:pPr>
    </w:p>
    <w:p w:rsidR="00873396" w:rsidRPr="002E3CEE" w:rsidRDefault="00873396" w:rsidP="00EA7F06">
      <w:pPr>
        <w:spacing w:line="360" w:lineRule="auto"/>
        <w:jc w:val="both"/>
        <w:rPr>
          <w:rFonts w:ascii="Verdana" w:hAnsi="Verdana"/>
          <w:i/>
        </w:rPr>
      </w:pPr>
      <w:r w:rsidRPr="00EA7F06">
        <w:rPr>
          <w:rFonts w:ascii="Verdana" w:hAnsi="Verdana"/>
          <w:i/>
          <w:sz w:val="24"/>
          <w:szCs w:val="24"/>
        </w:rPr>
        <w:tab/>
      </w:r>
      <w:r w:rsidRPr="002E3CEE">
        <w:rPr>
          <w:rFonts w:ascii="Verdana" w:hAnsi="Verdana"/>
          <w:i/>
        </w:rPr>
        <w:t>O Prefeito do Município de Carmo do Cajuru, Estado de Minas Gerais, no uso de suas atribuições legais, apresenta o seguinte Projeto de Lei Ordinária:</w:t>
      </w:r>
    </w:p>
    <w:p w:rsidR="00EA7F06" w:rsidRPr="002E3CEE" w:rsidRDefault="00EA7F06" w:rsidP="00EA7F06">
      <w:pPr>
        <w:spacing w:line="360" w:lineRule="auto"/>
        <w:jc w:val="both"/>
        <w:rPr>
          <w:rFonts w:ascii="Verdana" w:hAnsi="Verdana"/>
          <w:i/>
        </w:rPr>
      </w:pPr>
    </w:p>
    <w:p w:rsidR="00873396" w:rsidRPr="002E3CEE" w:rsidRDefault="00873396" w:rsidP="00EA7F06">
      <w:pPr>
        <w:spacing w:after="120" w:line="360" w:lineRule="auto"/>
        <w:jc w:val="both"/>
        <w:rPr>
          <w:rFonts w:ascii="Verdana" w:hAnsi="Verdana"/>
        </w:rPr>
      </w:pPr>
      <w:r w:rsidRPr="002E3CEE">
        <w:rPr>
          <w:rFonts w:ascii="Verdana" w:hAnsi="Verdana"/>
        </w:rPr>
        <w:t xml:space="preserve">  </w:t>
      </w:r>
      <w:r w:rsidRPr="002E3CEE">
        <w:rPr>
          <w:rFonts w:ascii="Verdana" w:hAnsi="Verdana"/>
        </w:rPr>
        <w:tab/>
      </w:r>
      <w:r w:rsidR="009D4C8F" w:rsidRPr="002E3CEE">
        <w:rPr>
          <w:rFonts w:ascii="Verdana" w:hAnsi="Verdana"/>
          <w:b/>
        </w:rPr>
        <w:t>Art. 1º</w:t>
      </w:r>
      <w:r w:rsidR="009D4C8F" w:rsidRPr="002E3CEE">
        <w:rPr>
          <w:rFonts w:ascii="Verdana" w:hAnsi="Verdana"/>
        </w:rPr>
        <w:t xml:space="preserve"> - Fica o Poder Executivo autorizado a divulgar por meio eletrônico e com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acesso</w:t>
      </w:r>
      <w:r w:rsidRPr="002E3CEE">
        <w:rPr>
          <w:rFonts w:ascii="Verdana" w:hAnsi="Verdana"/>
        </w:rPr>
        <w:t xml:space="preserve"> restrito a cada usuario, a lista de espera atualizada dos pacientes que aguardam consultas (discriminadas por especialidade), exames, intervenções cirúrgicas e </w:t>
      </w:r>
      <w:r w:rsidR="004B114B" w:rsidRPr="002E3CEE">
        <w:rPr>
          <w:rFonts w:ascii="Verdana" w:hAnsi="Verdana"/>
        </w:rPr>
        <w:t>exames, consultas e intervenções. O</w:t>
      </w:r>
      <w:r w:rsidRPr="002E3CEE">
        <w:rPr>
          <w:rFonts w:ascii="Verdana" w:hAnsi="Verdana"/>
        </w:rPr>
        <w:t>utros procedimentos na sua área de gestão, que deverá seguir a ordem de inscrição para a chamada dos pacientes, salvo nos procedimentos emergenciais, reconhecidos como tal.</w:t>
      </w:r>
      <w:r w:rsidR="009D4C8F" w:rsidRPr="002E3CEE">
        <w:rPr>
          <w:rFonts w:ascii="Verdana" w:hAnsi="Verdana"/>
        </w:rPr>
        <w:t xml:space="preserve"> </w:t>
      </w:r>
    </w:p>
    <w:p w:rsidR="00873396" w:rsidRPr="002E3CEE" w:rsidRDefault="00873396" w:rsidP="00EA7F06">
      <w:pPr>
        <w:spacing w:after="120" w:line="360" w:lineRule="auto"/>
        <w:jc w:val="both"/>
        <w:rPr>
          <w:rFonts w:ascii="Verdana" w:eastAsia="Arial Unicode MS" w:hAnsi="Verdana"/>
          <w:bCs/>
          <w:lang w:eastAsia="zh-CN"/>
        </w:rPr>
      </w:pPr>
      <w:r w:rsidRPr="002E3CEE">
        <w:rPr>
          <w:rFonts w:ascii="Verdana" w:hAnsi="Verdana"/>
        </w:rPr>
        <w:tab/>
      </w:r>
      <w:r w:rsidRPr="002E3CEE">
        <w:rPr>
          <w:rFonts w:ascii="Verdana" w:eastAsia="Arial Unicode MS" w:hAnsi="Verdana"/>
          <w:b/>
          <w:bCs/>
          <w:lang w:eastAsia="zh-CN"/>
        </w:rPr>
        <w:t>§ 1º</w:t>
      </w:r>
      <w:r w:rsidRPr="002E3CEE">
        <w:rPr>
          <w:rFonts w:ascii="Verdana" w:eastAsia="Arial Unicode MS" w:hAnsi="Verdana"/>
          <w:bCs/>
          <w:lang w:eastAsia="zh-CN"/>
        </w:rPr>
        <w:t xml:space="preserve"> O acesso será realizado pelo ususario</w:t>
      </w:r>
      <w:r w:rsidR="009D4C8F" w:rsidRPr="002E3CEE">
        <w:rPr>
          <w:rFonts w:ascii="Verdana" w:eastAsia="Arial Unicode MS" w:hAnsi="Verdana"/>
          <w:bCs/>
          <w:lang w:eastAsia="zh-CN"/>
        </w:rPr>
        <w:t xml:space="preserve"> de saúde n</w:t>
      </w:r>
      <w:r w:rsidRPr="002E3CEE">
        <w:rPr>
          <w:rFonts w:ascii="Verdana" w:eastAsia="Arial Unicode MS" w:hAnsi="Verdana"/>
          <w:bCs/>
          <w:lang w:eastAsia="zh-CN"/>
        </w:rPr>
        <w:t xml:space="preserve">o sistema, </w:t>
      </w:r>
      <w:r w:rsidR="009D4C8F" w:rsidRPr="002E3CEE">
        <w:rPr>
          <w:rFonts w:ascii="Verdana" w:eastAsia="Arial Unicode MS" w:hAnsi="Verdana"/>
          <w:bCs/>
          <w:lang w:eastAsia="zh-CN"/>
        </w:rPr>
        <w:t xml:space="preserve"> podendo acessar através </w:t>
      </w:r>
      <w:r w:rsidRPr="002E3CEE">
        <w:rPr>
          <w:rFonts w:ascii="Verdana" w:eastAsia="Arial Unicode MS" w:hAnsi="Verdana"/>
          <w:bCs/>
          <w:lang w:eastAsia="zh-CN"/>
        </w:rPr>
        <w:t xml:space="preserve">do seu CPF, número do Cartão Nacional de Saúde, ou mesmo do prontuario. </w:t>
      </w:r>
    </w:p>
    <w:p w:rsidR="00822D09" w:rsidRPr="002E3CEE" w:rsidRDefault="00873396" w:rsidP="00EA7F06">
      <w:pPr>
        <w:spacing w:after="120" w:line="360" w:lineRule="auto"/>
        <w:jc w:val="both"/>
        <w:rPr>
          <w:rFonts w:ascii="Verdana" w:eastAsia="Arial Unicode MS" w:hAnsi="Verdana"/>
          <w:bCs/>
          <w:lang w:eastAsia="zh-CN"/>
        </w:rPr>
      </w:pPr>
      <w:r w:rsidRPr="002E3CEE">
        <w:rPr>
          <w:rFonts w:ascii="Verdana" w:eastAsia="Arial Unicode MS" w:hAnsi="Verdana"/>
          <w:bCs/>
          <w:lang w:eastAsia="zh-CN"/>
        </w:rPr>
        <w:tab/>
      </w:r>
      <w:r w:rsidR="00EA7F06" w:rsidRPr="002E3CEE">
        <w:rPr>
          <w:rFonts w:ascii="Verdana" w:eastAsia="Arial Unicode MS" w:hAnsi="Verdana"/>
          <w:b/>
          <w:bCs/>
          <w:lang w:eastAsia="zh-CN"/>
        </w:rPr>
        <w:t xml:space="preserve"> </w:t>
      </w:r>
      <w:r w:rsidR="00A70D6D" w:rsidRPr="002E3CEE">
        <w:rPr>
          <w:rFonts w:ascii="Verdana" w:eastAsia="Arial Unicode MS" w:hAnsi="Verdana"/>
          <w:b/>
          <w:bCs/>
          <w:lang w:eastAsia="zh-CN"/>
        </w:rPr>
        <w:t>§ 2º</w:t>
      </w:r>
      <w:r w:rsidR="00A70D6D" w:rsidRPr="002E3CEE">
        <w:rPr>
          <w:rFonts w:ascii="Verdana" w:eastAsia="Arial Unicode MS" w:hAnsi="Verdana"/>
          <w:bCs/>
          <w:lang w:eastAsia="zh-CN"/>
        </w:rPr>
        <w:t xml:space="preserve"> </w:t>
      </w:r>
      <w:r w:rsidR="009D4C8F" w:rsidRPr="002E3CEE">
        <w:rPr>
          <w:rFonts w:ascii="Verdana" w:hAnsi="Verdana"/>
        </w:rPr>
        <w:t xml:space="preserve">A divulgação será disponibilizada no Portal Oficial da Prefeitura Municipal de </w:t>
      </w:r>
      <w:r w:rsidRPr="002E3CEE">
        <w:rPr>
          <w:rFonts w:ascii="Verdana" w:hAnsi="Verdana"/>
        </w:rPr>
        <w:t xml:space="preserve"> Carmo do Cajuru  MG, </w:t>
      </w:r>
      <w:r w:rsidR="009D4C8F" w:rsidRPr="002E3CEE">
        <w:rPr>
          <w:rFonts w:ascii="Verdana" w:hAnsi="Verdana"/>
        </w:rPr>
        <w:t>na internet.</w:t>
      </w:r>
    </w:p>
    <w:p w:rsidR="00EA7F06" w:rsidRPr="002E3CEE" w:rsidRDefault="00A70D6D" w:rsidP="00EA7F06">
      <w:pPr>
        <w:spacing w:line="360" w:lineRule="auto"/>
        <w:jc w:val="both"/>
        <w:rPr>
          <w:rFonts w:ascii="Verdana" w:hAnsi="Verdana"/>
        </w:rPr>
      </w:pPr>
      <w:r w:rsidRPr="002E3CEE">
        <w:rPr>
          <w:rFonts w:ascii="Verdana" w:hAnsi="Verdana"/>
        </w:rPr>
        <w:t xml:space="preserve"> </w:t>
      </w:r>
    </w:p>
    <w:p w:rsidR="00822D09" w:rsidRPr="002E3CEE" w:rsidRDefault="00A70D6D" w:rsidP="00EA7F06">
      <w:pPr>
        <w:spacing w:after="120" w:line="360" w:lineRule="auto"/>
        <w:jc w:val="both"/>
        <w:rPr>
          <w:rFonts w:ascii="Verdana" w:hAnsi="Verdana"/>
        </w:rPr>
      </w:pPr>
      <w:r w:rsidRPr="002E3CEE">
        <w:rPr>
          <w:rFonts w:ascii="Verdana" w:hAnsi="Verdana"/>
        </w:rPr>
        <w:tab/>
      </w:r>
      <w:r w:rsidR="009D4C8F" w:rsidRPr="002E3CEE">
        <w:rPr>
          <w:rFonts w:ascii="Verdana" w:hAnsi="Verdana"/>
          <w:b/>
        </w:rPr>
        <w:t>Art. 2º</w:t>
      </w:r>
      <w:r w:rsidR="009D4C8F" w:rsidRPr="002E3CEE">
        <w:rPr>
          <w:rFonts w:ascii="Verdana" w:hAnsi="Verdana"/>
        </w:rPr>
        <w:t xml:space="preserve"> - As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informações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a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serem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divulgadas</w:t>
      </w:r>
      <w:r w:rsidRPr="002E3CEE">
        <w:rPr>
          <w:rFonts w:ascii="Verdana" w:hAnsi="Verdana"/>
        </w:rPr>
        <w:t xml:space="preserve"> </w:t>
      </w:r>
      <w:r w:rsidR="002E3CEE">
        <w:rPr>
          <w:rFonts w:ascii="Verdana" w:hAnsi="Verdana"/>
        </w:rPr>
        <w:t>devem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conter:</w:t>
      </w:r>
    </w:p>
    <w:p w:rsidR="00822D09" w:rsidRPr="002E3CEE" w:rsidRDefault="007B70E2" w:rsidP="00EA7F06">
      <w:pPr>
        <w:spacing w:after="120" w:line="360" w:lineRule="auto"/>
        <w:ind w:left="624"/>
        <w:jc w:val="both"/>
        <w:rPr>
          <w:rFonts w:ascii="Verdana" w:hAnsi="Verdana"/>
        </w:rPr>
      </w:pPr>
      <w:r w:rsidRPr="002E3CEE">
        <w:rPr>
          <w:rFonts w:ascii="Verdana" w:hAnsi="Verdana"/>
        </w:rPr>
        <w:t xml:space="preserve">I </w:t>
      </w:r>
      <w:r w:rsidR="009D4C8F" w:rsidRPr="002E3CEE">
        <w:rPr>
          <w:rFonts w:ascii="Verdana" w:hAnsi="Verdana"/>
        </w:rPr>
        <w:t>-A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data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de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solicitação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da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consulta,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do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exame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ou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da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intervenção cirúrgica;</w:t>
      </w:r>
    </w:p>
    <w:p w:rsidR="00A70D6D" w:rsidRPr="002E3CEE" w:rsidRDefault="007B70E2" w:rsidP="00EA7F06">
      <w:pPr>
        <w:spacing w:after="120" w:line="360" w:lineRule="auto"/>
        <w:ind w:left="624"/>
        <w:jc w:val="both"/>
        <w:rPr>
          <w:rFonts w:ascii="Verdana" w:hAnsi="Verdana"/>
        </w:rPr>
      </w:pPr>
      <w:r w:rsidRPr="002E3CEE">
        <w:rPr>
          <w:rFonts w:ascii="Verdana" w:hAnsi="Verdana"/>
        </w:rPr>
        <w:t xml:space="preserve">II </w:t>
      </w:r>
      <w:r w:rsidR="00A70D6D" w:rsidRPr="002E3CEE">
        <w:rPr>
          <w:rFonts w:ascii="Verdana" w:hAnsi="Verdana"/>
        </w:rPr>
        <w:t>- O número na lista de espera;</w:t>
      </w:r>
    </w:p>
    <w:p w:rsidR="007B70E2" w:rsidRPr="002E3CEE" w:rsidRDefault="007B70E2" w:rsidP="00EA7F06">
      <w:pPr>
        <w:spacing w:after="120" w:line="360" w:lineRule="auto"/>
        <w:ind w:left="624"/>
        <w:jc w:val="both"/>
        <w:rPr>
          <w:rFonts w:ascii="Verdana" w:hAnsi="Verdana"/>
        </w:rPr>
      </w:pPr>
      <w:r w:rsidRPr="002E3CEE">
        <w:rPr>
          <w:rFonts w:ascii="Verdana" w:hAnsi="Verdana"/>
        </w:rPr>
        <w:t>III- O nome do procedimento médico;</w:t>
      </w:r>
    </w:p>
    <w:p w:rsidR="009D4C8F" w:rsidRPr="002E3CEE" w:rsidRDefault="009D4C8F" w:rsidP="00EA7F06">
      <w:pPr>
        <w:spacing w:after="120" w:line="360" w:lineRule="auto"/>
        <w:ind w:left="624"/>
        <w:jc w:val="both"/>
        <w:rPr>
          <w:rFonts w:ascii="Verdana" w:hAnsi="Verdana"/>
        </w:rPr>
      </w:pPr>
      <w:r w:rsidRPr="002E3CEE">
        <w:rPr>
          <w:rFonts w:ascii="Verdana" w:hAnsi="Verdana"/>
        </w:rPr>
        <w:lastRenderedPageBreak/>
        <w:t>IV- Iniciais do Nome;</w:t>
      </w:r>
    </w:p>
    <w:p w:rsidR="009D4C8F" w:rsidRPr="002E3CEE" w:rsidRDefault="009D4C8F" w:rsidP="00EA7F06">
      <w:pPr>
        <w:spacing w:after="120" w:line="360" w:lineRule="auto"/>
        <w:ind w:left="624"/>
        <w:jc w:val="both"/>
        <w:rPr>
          <w:rFonts w:ascii="Verdana" w:hAnsi="Verdana"/>
        </w:rPr>
      </w:pPr>
      <w:r w:rsidRPr="002E3CEE">
        <w:rPr>
          <w:rFonts w:ascii="Verdana" w:hAnsi="Verdana"/>
        </w:rPr>
        <w:t>V-</w:t>
      </w:r>
      <w:r w:rsidR="00F620C5" w:rsidRPr="002E3CEE">
        <w:rPr>
          <w:rFonts w:ascii="Verdana" w:hAnsi="Verdana"/>
        </w:rPr>
        <w:t xml:space="preserve"> </w:t>
      </w:r>
      <w:r w:rsidRPr="002E3CEE">
        <w:rPr>
          <w:rFonts w:ascii="Verdana" w:hAnsi="Verdana"/>
        </w:rPr>
        <w:t xml:space="preserve"> Data de Nascimento do Usuario;</w:t>
      </w:r>
    </w:p>
    <w:p w:rsidR="00EF3DB6" w:rsidRPr="002E3CEE" w:rsidRDefault="00EF3DB6" w:rsidP="00EA7F06">
      <w:pPr>
        <w:spacing w:after="120" w:line="360" w:lineRule="auto"/>
        <w:ind w:left="624"/>
        <w:jc w:val="both"/>
        <w:rPr>
          <w:rFonts w:ascii="Verdana" w:hAnsi="Verdana"/>
        </w:rPr>
      </w:pPr>
      <w:r w:rsidRPr="002E3CEE">
        <w:rPr>
          <w:rFonts w:ascii="Verdana" w:hAnsi="Verdana"/>
        </w:rPr>
        <w:t>VI – Classificação de prioridade;</w:t>
      </w:r>
    </w:p>
    <w:p w:rsidR="00EA7F06" w:rsidRPr="002E3CEE" w:rsidRDefault="00EA7F06" w:rsidP="00EA7F06">
      <w:pPr>
        <w:spacing w:after="120" w:line="360" w:lineRule="auto"/>
        <w:ind w:left="624"/>
        <w:jc w:val="both"/>
        <w:rPr>
          <w:rFonts w:ascii="Verdana" w:hAnsi="Verdana"/>
        </w:rPr>
      </w:pPr>
    </w:p>
    <w:p w:rsidR="00822D09" w:rsidRPr="002E3CEE" w:rsidRDefault="007B70E2" w:rsidP="00EA7F06">
      <w:pPr>
        <w:spacing w:line="360" w:lineRule="auto"/>
        <w:jc w:val="both"/>
        <w:rPr>
          <w:rFonts w:ascii="Verdana" w:hAnsi="Verdana"/>
        </w:rPr>
      </w:pPr>
      <w:r w:rsidRPr="002E3CEE">
        <w:rPr>
          <w:rFonts w:ascii="Verdana" w:hAnsi="Verdana"/>
        </w:rPr>
        <w:t xml:space="preserve"> </w:t>
      </w:r>
      <w:r w:rsidRPr="002E3CEE">
        <w:rPr>
          <w:rFonts w:ascii="Verdana" w:hAnsi="Verdana"/>
        </w:rPr>
        <w:tab/>
        <w:t xml:space="preserve"> </w:t>
      </w:r>
      <w:r w:rsidR="00A70D6D" w:rsidRPr="002E3CEE">
        <w:rPr>
          <w:rFonts w:ascii="Verdana" w:hAnsi="Verdana"/>
          <w:b/>
        </w:rPr>
        <w:t>Art. 3</w:t>
      </w:r>
      <w:r w:rsidR="009D4C8F" w:rsidRPr="002E3CEE">
        <w:rPr>
          <w:rFonts w:ascii="Verdana" w:hAnsi="Verdana"/>
          <w:b/>
        </w:rPr>
        <w:t>º</w:t>
      </w:r>
      <w:r w:rsidR="009D4C8F" w:rsidRPr="002E3CEE">
        <w:rPr>
          <w:rFonts w:ascii="Verdana" w:hAnsi="Verdana"/>
        </w:rPr>
        <w:t xml:space="preserve"> - Fica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desde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já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autorizada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a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alteração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da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situação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do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paciente</w:t>
      </w:r>
      <w:r w:rsidR="00A70D6D"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inscrito</w:t>
      </w:r>
      <w:r w:rsidRPr="002E3CEE">
        <w:rPr>
          <w:rFonts w:ascii="Verdana" w:hAnsi="Verdana"/>
        </w:rPr>
        <w:t xml:space="preserve"> na </w:t>
      </w:r>
      <w:r w:rsidR="009D4C8F" w:rsidRPr="002E3CEE">
        <w:rPr>
          <w:rFonts w:ascii="Verdana" w:hAnsi="Verdana"/>
        </w:rPr>
        <w:t>listagem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de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espera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com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base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no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critério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de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gravidade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do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estado</w:t>
      </w:r>
      <w:r w:rsidRPr="002E3CEE">
        <w:rPr>
          <w:rFonts w:ascii="Verdana" w:hAnsi="Verdana"/>
        </w:rPr>
        <w:t xml:space="preserve"> </w:t>
      </w:r>
      <w:r w:rsidR="009D4C8F" w:rsidRPr="002E3CEE">
        <w:rPr>
          <w:rFonts w:ascii="Verdana" w:hAnsi="Verdana"/>
        </w:rPr>
        <w:t>clínico.</w:t>
      </w:r>
    </w:p>
    <w:p w:rsidR="00EA7F06" w:rsidRPr="002E3CEE" w:rsidRDefault="00EA7F06" w:rsidP="00EA7F06">
      <w:pPr>
        <w:spacing w:line="360" w:lineRule="auto"/>
        <w:jc w:val="both"/>
        <w:rPr>
          <w:rFonts w:ascii="Verdana" w:hAnsi="Verdana"/>
        </w:rPr>
      </w:pPr>
    </w:p>
    <w:p w:rsidR="007B70E2" w:rsidRPr="002E3CEE" w:rsidRDefault="007B70E2" w:rsidP="00EA7F06">
      <w:pPr>
        <w:spacing w:line="360" w:lineRule="auto"/>
        <w:jc w:val="both"/>
        <w:rPr>
          <w:rFonts w:ascii="Verdana" w:hAnsi="Verdana"/>
        </w:rPr>
      </w:pPr>
      <w:r w:rsidRPr="002E3CEE">
        <w:rPr>
          <w:rFonts w:ascii="Verdana" w:hAnsi="Verdana"/>
        </w:rPr>
        <w:tab/>
      </w:r>
      <w:r w:rsidR="003704F0">
        <w:rPr>
          <w:rFonts w:ascii="Verdana" w:hAnsi="Verdana"/>
          <w:b/>
        </w:rPr>
        <w:t>Art. 4</w:t>
      </w:r>
      <w:r w:rsidRPr="002E3CEE">
        <w:rPr>
          <w:rFonts w:ascii="Verdana" w:hAnsi="Verdana"/>
          <w:b/>
        </w:rPr>
        <w:t>º</w:t>
      </w:r>
      <w:r w:rsidRPr="002E3CEE">
        <w:rPr>
          <w:rFonts w:ascii="Verdana" w:hAnsi="Verdana"/>
        </w:rPr>
        <w:t xml:space="preserve"> - O sistema que estiver prestando serviços a Prefeitura deverá agregar em seu escopo de trabalho a integração </w:t>
      </w:r>
      <w:r w:rsidR="00DA4CC4" w:rsidRPr="002E3CEE">
        <w:rPr>
          <w:rFonts w:ascii="Verdana" w:hAnsi="Verdana"/>
        </w:rPr>
        <w:t>desta parametrização, bem como o município deverá apresentar nos termos de referência de contratações futuras de sistemas de gestão, tal obrigatoriedade para que haja a continuidade do processo de exibição.</w:t>
      </w:r>
      <w:r w:rsidR="009D4C8F" w:rsidRPr="002E3CEE">
        <w:rPr>
          <w:rFonts w:ascii="Verdana" w:hAnsi="Verdana"/>
        </w:rPr>
        <w:t xml:space="preserve"> </w:t>
      </w:r>
    </w:p>
    <w:p w:rsidR="00EA7F06" w:rsidRPr="002E3CEE" w:rsidRDefault="00EA7F06" w:rsidP="00EA7F06">
      <w:pPr>
        <w:spacing w:line="360" w:lineRule="auto"/>
        <w:jc w:val="both"/>
        <w:rPr>
          <w:rFonts w:ascii="Verdana" w:hAnsi="Verdana"/>
        </w:rPr>
      </w:pPr>
    </w:p>
    <w:p w:rsidR="00822D09" w:rsidRPr="002E3CEE" w:rsidRDefault="007B70E2" w:rsidP="00EA7F06">
      <w:pPr>
        <w:spacing w:line="360" w:lineRule="auto"/>
        <w:jc w:val="both"/>
        <w:rPr>
          <w:rFonts w:ascii="Verdana" w:hAnsi="Verdana"/>
        </w:rPr>
      </w:pPr>
      <w:r w:rsidRPr="002E3CEE">
        <w:rPr>
          <w:rFonts w:ascii="Verdana" w:hAnsi="Verdana"/>
        </w:rPr>
        <w:t xml:space="preserve"> </w:t>
      </w:r>
      <w:r w:rsidRPr="002E3CEE">
        <w:rPr>
          <w:rFonts w:ascii="Verdana" w:hAnsi="Verdana"/>
        </w:rPr>
        <w:tab/>
      </w:r>
      <w:r w:rsidR="003704F0">
        <w:rPr>
          <w:rFonts w:ascii="Verdana" w:hAnsi="Verdana"/>
          <w:b/>
        </w:rPr>
        <w:t>Art. 5</w:t>
      </w:r>
      <w:r w:rsidR="009D4C8F" w:rsidRPr="002E3CEE">
        <w:rPr>
          <w:rFonts w:ascii="Verdana" w:hAnsi="Verdana"/>
          <w:b/>
        </w:rPr>
        <w:t>º</w:t>
      </w:r>
      <w:r w:rsidR="009D4C8F" w:rsidRPr="002E3CEE">
        <w:rPr>
          <w:rFonts w:ascii="Verdana" w:hAnsi="Verdana"/>
        </w:rPr>
        <w:t xml:space="preserve"> - Revogadas as disposições em contrário,</w:t>
      </w:r>
      <w:r w:rsidRPr="002E3CEE">
        <w:rPr>
          <w:rFonts w:ascii="Verdana" w:hAnsi="Verdana"/>
        </w:rPr>
        <w:t xml:space="preserve"> em espec</w:t>
      </w:r>
      <w:r w:rsidR="00EA7F06" w:rsidRPr="002E3CEE">
        <w:rPr>
          <w:rFonts w:ascii="Verdana" w:hAnsi="Verdana"/>
        </w:rPr>
        <w:t>ial a Lei Municipal 2.891/2021,</w:t>
      </w:r>
      <w:r w:rsidR="009D4C8F" w:rsidRPr="002E3CEE">
        <w:rPr>
          <w:rFonts w:ascii="Verdana" w:hAnsi="Verdana"/>
        </w:rPr>
        <w:t xml:space="preserve"> esta Lei entrará em </w:t>
      </w:r>
      <w:r w:rsidR="00EA7F06" w:rsidRPr="002E3CEE">
        <w:rPr>
          <w:rFonts w:ascii="Verdana" w:hAnsi="Verdana"/>
        </w:rPr>
        <w:t>vigor</w:t>
      </w:r>
      <w:r w:rsidRPr="002E3CEE">
        <w:rPr>
          <w:rFonts w:ascii="Verdana" w:hAnsi="Verdana"/>
        </w:rPr>
        <w:t xml:space="preserve"> 15 (quinze) dias após sua publicação.</w:t>
      </w:r>
    </w:p>
    <w:p w:rsidR="009D4C8F" w:rsidRPr="002E3CEE" w:rsidRDefault="009D4C8F" w:rsidP="007B70E2">
      <w:pPr>
        <w:jc w:val="both"/>
        <w:rPr>
          <w:rFonts w:ascii="Verdana" w:hAnsi="Verdana"/>
        </w:rPr>
      </w:pPr>
    </w:p>
    <w:p w:rsidR="009D4C8F" w:rsidRDefault="009D4C8F" w:rsidP="009D4C8F">
      <w:pPr>
        <w:tabs>
          <w:tab w:val="left" w:pos="0"/>
        </w:tabs>
        <w:jc w:val="center"/>
        <w:rPr>
          <w:rFonts w:ascii="Verdana" w:hAnsi="Verdana"/>
        </w:rPr>
      </w:pPr>
      <w:r w:rsidRPr="002E3CEE">
        <w:rPr>
          <w:rFonts w:ascii="Verdana" w:hAnsi="Verdana"/>
        </w:rPr>
        <w:t>Carmo do Cajuru, 04 de abril 2025.</w:t>
      </w:r>
    </w:p>
    <w:p w:rsidR="002E3CEE" w:rsidRDefault="002E3CEE" w:rsidP="009D4C8F">
      <w:pPr>
        <w:tabs>
          <w:tab w:val="left" w:pos="0"/>
        </w:tabs>
        <w:jc w:val="center"/>
        <w:rPr>
          <w:rFonts w:ascii="Verdana" w:hAnsi="Verdana"/>
        </w:rPr>
      </w:pPr>
    </w:p>
    <w:p w:rsidR="002E3CEE" w:rsidRDefault="002E3CEE" w:rsidP="009D4C8F">
      <w:pPr>
        <w:tabs>
          <w:tab w:val="left" w:pos="0"/>
        </w:tabs>
        <w:jc w:val="center"/>
        <w:rPr>
          <w:rFonts w:ascii="Verdana" w:hAnsi="Verdana"/>
        </w:rPr>
      </w:pPr>
    </w:p>
    <w:p w:rsidR="002E3CEE" w:rsidRDefault="002E3CEE" w:rsidP="009D4C8F">
      <w:pPr>
        <w:tabs>
          <w:tab w:val="left" w:pos="0"/>
        </w:tabs>
        <w:jc w:val="center"/>
        <w:rPr>
          <w:rFonts w:ascii="Verdana" w:hAnsi="Verdana"/>
        </w:rPr>
      </w:pPr>
    </w:p>
    <w:p w:rsidR="002E3CEE" w:rsidRDefault="002E3CEE" w:rsidP="009D4C8F">
      <w:pPr>
        <w:tabs>
          <w:tab w:val="left" w:pos="0"/>
        </w:tabs>
        <w:jc w:val="center"/>
        <w:rPr>
          <w:rFonts w:ascii="Verdana" w:hAnsi="Verdana"/>
        </w:rPr>
      </w:pPr>
    </w:p>
    <w:p w:rsidR="002E3CEE" w:rsidRPr="002E3CEE" w:rsidRDefault="002E3CEE" w:rsidP="009D4C8F">
      <w:pPr>
        <w:tabs>
          <w:tab w:val="left" w:pos="0"/>
        </w:tabs>
        <w:jc w:val="center"/>
        <w:rPr>
          <w:rFonts w:ascii="Verdana" w:hAnsi="Verdana"/>
          <w:color w:val="FF0000"/>
        </w:rPr>
      </w:pPr>
    </w:p>
    <w:p w:rsidR="009D4C8F" w:rsidRPr="002E3CEE" w:rsidRDefault="009D4C8F" w:rsidP="009D4C8F">
      <w:pPr>
        <w:jc w:val="center"/>
        <w:rPr>
          <w:rFonts w:ascii="Verdana" w:hAnsi="Verdana"/>
          <w:b/>
          <w:lang w:eastAsia="pt-BR"/>
        </w:rPr>
      </w:pPr>
      <w:r w:rsidRPr="002E3CEE">
        <w:rPr>
          <w:rFonts w:ascii="Verdana" w:hAnsi="Verdana"/>
          <w:b/>
          <w:lang w:eastAsia="pt-BR"/>
        </w:rPr>
        <w:t>Vinicius Alves Camargos</w:t>
      </w:r>
    </w:p>
    <w:p w:rsidR="00D45EF5" w:rsidRDefault="009D4C8F" w:rsidP="00622DF4">
      <w:pPr>
        <w:tabs>
          <w:tab w:val="center" w:pos="4252"/>
        </w:tabs>
        <w:jc w:val="center"/>
        <w:rPr>
          <w:rFonts w:ascii="Verdana" w:hAnsi="Verdana"/>
          <w:b/>
          <w:lang w:eastAsia="pt-BR"/>
        </w:rPr>
      </w:pPr>
      <w:r w:rsidRPr="002E3CEE">
        <w:rPr>
          <w:rFonts w:ascii="Verdana" w:hAnsi="Verdana"/>
          <w:b/>
          <w:lang w:eastAsia="pt-BR"/>
        </w:rPr>
        <w:t>Prefeito de Carmo do Cajuru</w:t>
      </w:r>
    </w:p>
    <w:p w:rsidR="003704F0" w:rsidRDefault="003704F0" w:rsidP="00622DF4">
      <w:pPr>
        <w:tabs>
          <w:tab w:val="center" w:pos="4252"/>
        </w:tabs>
        <w:jc w:val="center"/>
        <w:rPr>
          <w:rFonts w:ascii="Verdana" w:hAnsi="Verdana"/>
          <w:b/>
          <w:lang w:eastAsia="pt-BR"/>
        </w:rPr>
      </w:pPr>
    </w:p>
    <w:p w:rsidR="003704F0" w:rsidRDefault="003704F0" w:rsidP="00622DF4">
      <w:pPr>
        <w:tabs>
          <w:tab w:val="center" w:pos="4252"/>
        </w:tabs>
        <w:jc w:val="center"/>
        <w:rPr>
          <w:rFonts w:ascii="Verdana" w:hAnsi="Verdana"/>
          <w:b/>
          <w:lang w:eastAsia="pt-BR"/>
        </w:rPr>
      </w:pPr>
    </w:p>
    <w:p w:rsidR="003704F0" w:rsidRDefault="003704F0" w:rsidP="00622DF4">
      <w:pPr>
        <w:tabs>
          <w:tab w:val="center" w:pos="4252"/>
        </w:tabs>
        <w:jc w:val="center"/>
        <w:rPr>
          <w:rFonts w:ascii="Verdana" w:hAnsi="Verdana"/>
          <w:b/>
          <w:lang w:eastAsia="pt-BR"/>
        </w:rPr>
      </w:pPr>
    </w:p>
    <w:p w:rsidR="003704F0" w:rsidRDefault="003704F0" w:rsidP="00622DF4">
      <w:pPr>
        <w:tabs>
          <w:tab w:val="center" w:pos="4252"/>
        </w:tabs>
        <w:jc w:val="center"/>
        <w:rPr>
          <w:rFonts w:ascii="Verdana" w:hAnsi="Verdana"/>
          <w:b/>
          <w:lang w:eastAsia="pt-BR"/>
        </w:rPr>
      </w:pPr>
    </w:p>
    <w:p w:rsidR="003704F0" w:rsidRDefault="003704F0" w:rsidP="00622DF4">
      <w:pPr>
        <w:tabs>
          <w:tab w:val="center" w:pos="4252"/>
        </w:tabs>
        <w:jc w:val="center"/>
        <w:rPr>
          <w:rFonts w:ascii="Verdana" w:hAnsi="Verdana"/>
          <w:b/>
          <w:lang w:eastAsia="pt-BR"/>
        </w:rPr>
      </w:pPr>
    </w:p>
    <w:p w:rsidR="003704F0" w:rsidRDefault="003704F0" w:rsidP="00622DF4">
      <w:pPr>
        <w:tabs>
          <w:tab w:val="center" w:pos="4252"/>
        </w:tabs>
        <w:jc w:val="center"/>
        <w:rPr>
          <w:rFonts w:ascii="Verdana" w:hAnsi="Verdana"/>
          <w:b/>
          <w:lang w:eastAsia="pt-BR"/>
        </w:rPr>
      </w:pPr>
    </w:p>
    <w:p w:rsidR="003704F0" w:rsidRPr="002E3CEE" w:rsidRDefault="003704F0" w:rsidP="00622DF4">
      <w:pPr>
        <w:tabs>
          <w:tab w:val="center" w:pos="4252"/>
        </w:tabs>
        <w:jc w:val="center"/>
        <w:rPr>
          <w:rFonts w:ascii="Verdana" w:hAnsi="Verdana"/>
        </w:rPr>
      </w:pPr>
    </w:p>
    <w:p w:rsidR="00D45EF5" w:rsidRPr="00EA7F06" w:rsidRDefault="00D45EF5" w:rsidP="00D45EF5">
      <w:pPr>
        <w:tabs>
          <w:tab w:val="center" w:pos="4252"/>
        </w:tabs>
        <w:jc w:val="center"/>
        <w:rPr>
          <w:rFonts w:ascii="Verdana" w:hAnsi="Verdana"/>
          <w:b/>
          <w:sz w:val="24"/>
          <w:szCs w:val="24"/>
          <w:lang w:eastAsia="pt-BR"/>
        </w:rPr>
      </w:pPr>
    </w:p>
    <w:p w:rsidR="00D45EF5" w:rsidRPr="00EA7F06" w:rsidRDefault="00D45EF5" w:rsidP="00D45EF5">
      <w:pPr>
        <w:tabs>
          <w:tab w:val="center" w:pos="4252"/>
        </w:tabs>
        <w:rPr>
          <w:rFonts w:ascii="Verdana" w:hAnsi="Verdana"/>
          <w:b/>
          <w:sz w:val="24"/>
          <w:szCs w:val="24"/>
          <w:lang w:eastAsia="pt-BR"/>
        </w:rPr>
      </w:pPr>
    </w:p>
    <w:p w:rsidR="00D45EF5" w:rsidRPr="002E3CEE" w:rsidRDefault="00D45EF5" w:rsidP="00D45EF5">
      <w:pPr>
        <w:pStyle w:val="Recuode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left" w:pos="1134"/>
        </w:tabs>
        <w:spacing w:line="276" w:lineRule="auto"/>
        <w:jc w:val="center"/>
        <w:rPr>
          <w:rFonts w:ascii="Verdana" w:hAnsi="Verdana"/>
          <w:b/>
          <w:bCs/>
          <w:sz w:val="28"/>
          <w:szCs w:val="24"/>
        </w:rPr>
      </w:pPr>
      <w:r w:rsidRPr="002E3CEE">
        <w:rPr>
          <w:rFonts w:ascii="Verdana" w:hAnsi="Verdana"/>
          <w:b/>
          <w:bCs/>
          <w:sz w:val="28"/>
          <w:szCs w:val="24"/>
        </w:rPr>
        <w:lastRenderedPageBreak/>
        <w:t>DA JUSTIFICATIVA</w:t>
      </w:r>
    </w:p>
    <w:p w:rsidR="00D45EF5" w:rsidRPr="00EA7F06" w:rsidRDefault="00D45EF5" w:rsidP="00D45EF5">
      <w:pPr>
        <w:rPr>
          <w:rFonts w:ascii="Verdana" w:hAnsi="Verdana"/>
          <w:sz w:val="24"/>
          <w:szCs w:val="24"/>
        </w:rPr>
      </w:pPr>
    </w:p>
    <w:p w:rsidR="00D45EF5" w:rsidRPr="002E3CEE" w:rsidRDefault="00D45EF5" w:rsidP="00D45EF5">
      <w:pPr>
        <w:rPr>
          <w:rFonts w:ascii="Verdana" w:hAnsi="Verdana"/>
          <w:b/>
        </w:rPr>
      </w:pPr>
      <w:r w:rsidRPr="002E3CEE">
        <w:rPr>
          <w:rFonts w:ascii="Verdana" w:hAnsi="Verdana"/>
          <w:b/>
        </w:rPr>
        <w:t>Excelentíssima Senhora Presidente,</w:t>
      </w:r>
    </w:p>
    <w:p w:rsidR="00D45EF5" w:rsidRPr="002E3CEE" w:rsidRDefault="00D45EF5" w:rsidP="00D45EF5">
      <w:pPr>
        <w:rPr>
          <w:rFonts w:ascii="Verdana" w:hAnsi="Verdana"/>
          <w:b/>
        </w:rPr>
      </w:pPr>
      <w:r w:rsidRPr="002E3CEE">
        <w:rPr>
          <w:rFonts w:ascii="Verdana" w:hAnsi="Verdana"/>
          <w:b/>
        </w:rPr>
        <w:t xml:space="preserve">Ilustres Vereadores (as), </w:t>
      </w:r>
    </w:p>
    <w:p w:rsidR="00D45EF5" w:rsidRPr="002E3CEE" w:rsidRDefault="00D45EF5" w:rsidP="00D45EF5">
      <w:pPr>
        <w:rPr>
          <w:rFonts w:ascii="Verdana" w:hAnsi="Verdana"/>
        </w:rPr>
      </w:pPr>
    </w:p>
    <w:p w:rsidR="00D45EF5" w:rsidRPr="002E3CEE" w:rsidRDefault="00D45EF5" w:rsidP="00D45EF5">
      <w:pPr>
        <w:spacing w:after="160" w:line="360" w:lineRule="auto"/>
        <w:ind w:firstLine="1134"/>
        <w:jc w:val="both"/>
        <w:rPr>
          <w:rFonts w:ascii="Verdana" w:hAnsi="Verdana"/>
        </w:rPr>
      </w:pPr>
      <w:r w:rsidRPr="002E3CEE">
        <w:rPr>
          <w:rFonts w:ascii="Verdana" w:hAnsi="Verdana"/>
        </w:rPr>
        <w:t xml:space="preserve">Tenho a honra de submeter para deliberação e apreciação dessa Egrégia Câmara Municipal o presente Projeto de Lei que Altera artigos da Lei 2.819/2021. </w:t>
      </w:r>
    </w:p>
    <w:p w:rsidR="00D45EF5" w:rsidRPr="002E3CEE" w:rsidRDefault="00D45EF5" w:rsidP="00D45EF5">
      <w:pPr>
        <w:spacing w:after="160" w:line="360" w:lineRule="auto"/>
        <w:ind w:firstLine="1134"/>
        <w:jc w:val="both"/>
        <w:rPr>
          <w:rFonts w:ascii="Verdana" w:hAnsi="Verdana"/>
          <w:color w:val="212125"/>
          <w:shd w:val="clear" w:color="auto" w:fill="FFFFFF"/>
        </w:rPr>
      </w:pPr>
      <w:r w:rsidRPr="002E3CEE">
        <w:rPr>
          <w:rFonts w:ascii="Verdana" w:hAnsi="Verdana"/>
        </w:rPr>
        <w:t xml:space="preserve">Nobres Vereadores, em atenção a </w:t>
      </w:r>
      <w:r w:rsidRPr="002E3CEE">
        <w:rPr>
          <w:rFonts w:ascii="Verdana" w:hAnsi="Verdana"/>
          <w:color w:val="212125"/>
          <w:shd w:val="clear" w:color="auto" w:fill="FFFFFF"/>
        </w:rPr>
        <w:t xml:space="preserve">decisão do STF, que  estabeleceu, que  “a identificação dos pacientes pelas iniciais do nome completo e da data de nascimento além de não violar nenhum aspecto dos direitos à intimidade, vida privada, honra e imagem das pessoas, configurando medida constitucionalmente justificada em função do dever de transparência dos atos do poder público”, aduzindo que “o princípio republicano exige que prevaleça a transparência e o acesso às informações sobre a gestão e a aplicação dos recursos públicos, considerando que esta constitui verdadeira condição de possibilidade para a consolidação de uma democracia constitucional”. (RE 1.396.787/SP, Rel. Min. Edson Fachin, 30-08-2022). </w:t>
      </w:r>
    </w:p>
    <w:p w:rsidR="00D45EF5" w:rsidRPr="002E3CEE" w:rsidRDefault="00D45EF5" w:rsidP="00D45EF5">
      <w:pPr>
        <w:spacing w:after="160" w:line="360" w:lineRule="auto"/>
        <w:ind w:firstLine="1134"/>
        <w:jc w:val="both"/>
        <w:rPr>
          <w:rFonts w:ascii="Verdana" w:hAnsi="Verdana"/>
          <w:color w:val="212125"/>
          <w:shd w:val="clear" w:color="auto" w:fill="FFFFFF"/>
        </w:rPr>
      </w:pPr>
      <w:r w:rsidRPr="002E3CEE">
        <w:rPr>
          <w:rFonts w:ascii="Verdana" w:hAnsi="Verdana"/>
          <w:color w:val="212125"/>
          <w:shd w:val="clear" w:color="auto" w:fill="FFFFFF"/>
        </w:rPr>
        <w:t xml:space="preserve">Razão pela qual, entendemos que a referida norma encontrava desatualizada em nosso Município, pois a exigência de nome completo e CPF, esta em desacordo com a privacidade de nossos Munícipes. </w:t>
      </w:r>
    </w:p>
    <w:p w:rsidR="00622DF4" w:rsidRPr="002E3CEE" w:rsidRDefault="00622DF4" w:rsidP="00D45EF5">
      <w:pPr>
        <w:spacing w:after="160" w:line="360" w:lineRule="auto"/>
        <w:ind w:firstLine="1134"/>
        <w:jc w:val="both"/>
        <w:rPr>
          <w:rFonts w:ascii="Verdana" w:hAnsi="Verdana"/>
          <w:color w:val="212125"/>
          <w:shd w:val="clear" w:color="auto" w:fill="FFFFFF"/>
        </w:rPr>
      </w:pPr>
      <w:r w:rsidRPr="002E3CEE">
        <w:rPr>
          <w:rFonts w:ascii="Verdana" w:hAnsi="Verdana"/>
          <w:color w:val="212125"/>
          <w:shd w:val="clear" w:color="auto" w:fill="FFFFFF"/>
        </w:rPr>
        <w:t>Um exemplo:</w:t>
      </w:r>
    </w:p>
    <w:p w:rsidR="00622DF4" w:rsidRPr="002E3CEE" w:rsidRDefault="00E73B1F" w:rsidP="00D45EF5">
      <w:pPr>
        <w:spacing w:after="160" w:line="360" w:lineRule="auto"/>
        <w:ind w:firstLine="1134"/>
        <w:jc w:val="both"/>
        <w:rPr>
          <w:rFonts w:ascii="Verdana" w:hAnsi="Verdana"/>
          <w:color w:val="212125"/>
          <w:highlight w:val="yellow"/>
          <w:shd w:val="clear" w:color="auto" w:fill="FFFFFF"/>
        </w:rPr>
      </w:pPr>
      <w:hyperlink r:id="rId7" w:history="1">
        <w:r w:rsidR="00622DF4" w:rsidRPr="002E3CEE">
          <w:rPr>
            <w:rStyle w:val="Hyperlink"/>
            <w:rFonts w:ascii="Verdana" w:hAnsi="Verdana"/>
            <w:shd w:val="clear" w:color="auto" w:fill="FFFFFF"/>
          </w:rPr>
          <w:t>https://tribunademinas.com.br/noticias/minas/02-04-2025/vivo-cpf.html</w:t>
        </w:r>
      </w:hyperlink>
    </w:p>
    <w:p w:rsidR="00622DF4" w:rsidRPr="002E3CEE" w:rsidRDefault="00622DF4" w:rsidP="00D45EF5">
      <w:pPr>
        <w:spacing w:after="160" w:line="360" w:lineRule="auto"/>
        <w:ind w:firstLine="1134"/>
        <w:jc w:val="both"/>
        <w:rPr>
          <w:rFonts w:ascii="Verdana" w:hAnsi="Verdana"/>
          <w:color w:val="212125"/>
          <w:shd w:val="clear" w:color="auto" w:fill="FFFFFF"/>
        </w:rPr>
      </w:pPr>
      <w:r w:rsidRPr="002E3CEE">
        <w:rPr>
          <w:rFonts w:ascii="Verdana" w:hAnsi="Verdana"/>
          <w:color w:val="333333"/>
          <w:spacing w:val="2"/>
          <w:shd w:val="clear" w:color="auto" w:fill="FFFFFF"/>
        </w:rPr>
        <w:t>A Vivo foi multada pelo Procon-MG por exigir o CPF de um consumidor no pagamento de uma compra. O órgão do </w:t>
      </w:r>
      <w:r w:rsidRPr="004E464C">
        <w:rPr>
          <w:rFonts w:ascii="Verdana" w:hAnsi="Verdana"/>
          <w:spacing w:val="2"/>
          <w:shd w:val="clear" w:color="auto" w:fill="FFFFFF"/>
        </w:rPr>
        <w:t>Ministério Público de Minas Gerais (MPMG)</w:t>
      </w:r>
      <w:r w:rsidRPr="002E3CEE">
        <w:rPr>
          <w:rFonts w:ascii="Verdana" w:hAnsi="Verdana"/>
          <w:color w:val="333333"/>
          <w:spacing w:val="2"/>
          <w:shd w:val="clear" w:color="auto" w:fill="FFFFFF"/>
        </w:rPr>
        <w:t xml:space="preserve"> entendeu que essa obrigatoriedade viola o Código de Defesa do Consumidor (CDC) e a Lei Geral de Proteção de Dados Pessoais (LGPD), já que permitiria a criação de um cadastro para o cliente sem o seu </w:t>
      </w:r>
      <w:r w:rsidRPr="002E3CEE">
        <w:rPr>
          <w:rFonts w:ascii="Verdana" w:hAnsi="Verdana"/>
          <w:color w:val="333333"/>
          <w:spacing w:val="2"/>
          <w:shd w:val="clear" w:color="auto" w:fill="FFFFFF"/>
        </w:rPr>
        <w:lastRenderedPageBreak/>
        <w:t>conhecimento, usando o pretexto de oferecer descontos. Por meio da 14ª Promotoria de Justiça de Defesa do Consumidor da Comarca de Belo Horizonte, a multa foi aplicada em R$ 6.118,00 e direcionada para a operadora situada no Shopping Diamond Mall, em Belo Horizonte.</w:t>
      </w:r>
    </w:p>
    <w:p w:rsidR="00D45EF5" w:rsidRPr="002E3CEE" w:rsidRDefault="00D45EF5" w:rsidP="00D45EF5">
      <w:pPr>
        <w:spacing w:after="160" w:line="360" w:lineRule="auto"/>
        <w:ind w:firstLine="1134"/>
        <w:jc w:val="both"/>
        <w:rPr>
          <w:rFonts w:ascii="Verdana" w:hAnsi="Verdana"/>
          <w:b/>
          <w:color w:val="212125"/>
          <w:shd w:val="clear" w:color="auto" w:fill="FFFFFF"/>
        </w:rPr>
      </w:pPr>
      <w:r w:rsidRPr="002E3CEE">
        <w:rPr>
          <w:rFonts w:ascii="Verdana" w:hAnsi="Verdana"/>
          <w:b/>
          <w:color w:val="212125"/>
          <w:shd w:val="clear" w:color="auto" w:fill="FFFFFF"/>
        </w:rPr>
        <w:t>Entendemos e somos a favor da transparência, contudo, a adoção de iniciais pelo nome e a data de nascimento é uma maneira mais segura, de não ferir a intimidade e privacidade dos pacientes.</w:t>
      </w:r>
    </w:p>
    <w:p w:rsidR="00D45EF5" w:rsidRPr="002E3CEE" w:rsidRDefault="00D45EF5" w:rsidP="00D45EF5">
      <w:pPr>
        <w:spacing w:after="160" w:line="360" w:lineRule="auto"/>
        <w:ind w:firstLine="1134"/>
        <w:jc w:val="both"/>
        <w:rPr>
          <w:rFonts w:ascii="Verdana" w:hAnsi="Verdana"/>
          <w:b/>
          <w:color w:val="212125"/>
          <w:shd w:val="clear" w:color="auto" w:fill="FFFFFF"/>
        </w:rPr>
      </w:pPr>
      <w:r w:rsidRPr="002E3CEE">
        <w:rPr>
          <w:rFonts w:ascii="Verdana" w:hAnsi="Verdana"/>
          <w:color w:val="212125"/>
          <w:shd w:val="clear" w:color="auto" w:fill="FFFFFF"/>
        </w:rPr>
        <w:t>Lado outro, primando pela separação dos poderes, entendemos que a competência para discussão desta matéria cabe ao Poder Executivo como emissor de tal proposição a esta casa de Leis</w:t>
      </w:r>
      <w:r w:rsidRPr="002E3CEE">
        <w:rPr>
          <w:rFonts w:ascii="Verdana" w:hAnsi="Verdana"/>
          <w:b/>
          <w:color w:val="212125"/>
          <w:shd w:val="clear" w:color="auto" w:fill="FFFFFF"/>
        </w:rPr>
        <w:t xml:space="preserve">. </w:t>
      </w:r>
      <w:r w:rsidRPr="002E3CEE">
        <w:rPr>
          <w:rFonts w:ascii="Verdana" w:hAnsi="Verdana"/>
          <w:color w:val="212125"/>
          <w:shd w:val="clear" w:color="auto" w:fill="FFFFFF"/>
        </w:rPr>
        <w:t>Na medida em que</w:t>
      </w:r>
      <w:r w:rsidRPr="002E3CEE">
        <w:rPr>
          <w:rFonts w:ascii="Verdana" w:hAnsi="Verdana"/>
          <w:b/>
          <w:color w:val="212125"/>
          <w:shd w:val="clear" w:color="auto" w:fill="FFFFFF"/>
        </w:rPr>
        <w:t xml:space="preserve"> </w:t>
      </w:r>
      <w:r w:rsidRPr="002E3CEE">
        <w:rPr>
          <w:rStyle w:val="nfaseforte"/>
          <w:rFonts w:ascii="Verdana" w:hAnsi="Verdana"/>
        </w:rPr>
        <w:t>a imposição de obrigações operacionais detalhadas ao Poder Executivo, como forma, periodicidade e destinatários da divulgação de dados, configura inconstitucionalidade por invasão de competência.</w:t>
      </w:r>
    </w:p>
    <w:p w:rsidR="00D45EF5" w:rsidRPr="002E3CEE" w:rsidRDefault="00D45EF5" w:rsidP="00D45EF5">
      <w:pPr>
        <w:spacing w:after="160" w:line="360" w:lineRule="auto"/>
        <w:ind w:firstLine="1134"/>
        <w:jc w:val="both"/>
        <w:rPr>
          <w:rFonts w:ascii="Verdana" w:hAnsi="Verdana"/>
          <w:color w:val="212125"/>
          <w:shd w:val="clear" w:color="auto" w:fill="FFFFFF"/>
        </w:rPr>
      </w:pPr>
      <w:r w:rsidRPr="002E3CEE">
        <w:rPr>
          <w:rFonts w:ascii="Verdana" w:hAnsi="Verdana"/>
          <w:color w:val="212125"/>
          <w:shd w:val="clear" w:color="auto" w:fill="FFFFFF"/>
        </w:rPr>
        <w:t xml:space="preserve">Vejamos a recente decisão de dezembro de 2024 do TJMG. </w:t>
      </w:r>
    </w:p>
    <w:p w:rsidR="00D45EF5" w:rsidRDefault="00D45EF5" w:rsidP="00D45EF5">
      <w:pPr>
        <w:pStyle w:val="Corpodetexto"/>
        <w:suppressAutoHyphens/>
        <w:spacing w:after="142" w:line="360" w:lineRule="auto"/>
        <w:ind w:left="2268"/>
        <w:jc w:val="both"/>
        <w:rPr>
          <w:rStyle w:val="nfaseforte"/>
          <w:rFonts w:ascii="Verdana" w:hAnsi="Verdana"/>
          <w:sz w:val="20"/>
        </w:rPr>
      </w:pPr>
      <w:r w:rsidRPr="002E3CEE">
        <w:rPr>
          <w:rStyle w:val="nfaseforte"/>
          <w:rFonts w:ascii="Verdana" w:hAnsi="Verdana"/>
          <w:sz w:val="20"/>
        </w:rPr>
        <w:t>EMENTA: DIREITO CONSTITUCIONAL E ADMINISTRATIVO. AÇÃO DIRETA DE INCONSTITUCIONALIDADE. LEI MUNICIPAL QUE DISPÕE SOBRE A DIVULGAÇÃO DE LISTA DE ESPERA DO SUS. PUBLICIDADE DE ATOS ADMINISTRATIVOS. SEPARAÇÃO DE PODERES. INCONSTITUCIONALIDADE PARCIAL. PROCEDÊNCIA PARCIAL.I. CASO EM EXAME</w:t>
      </w:r>
      <w:r w:rsidRPr="002E3CEE">
        <w:rPr>
          <w:rStyle w:val="nfaseforte"/>
          <w:rFonts w:ascii="Verdana" w:hAnsi="Verdana"/>
          <w:sz w:val="20"/>
        </w:rPr>
        <w:br/>
        <w:t xml:space="preserve">- Ação Direta de Inconstitucionalidade visando à declaração de inconstitucionalidade de lei municipal que obriga a divulgação de listas de pacientes aguardando atendimento pelo SUS na rede municipal.- Sustenta-se violação à iniciativa privativa do Poder Executivo, bem como à separação de poderes, em afronta aos artigos 66, III, "e"; 90, II, V e XIV; e 165, §1º, da Constituição do Estado de Minas Gerais, além de ausência de estimativa de impacto financeiro, em descumprimento ao art. 113 do </w:t>
      </w:r>
      <w:r w:rsidRPr="002E3CEE">
        <w:rPr>
          <w:rStyle w:val="nfaseforte"/>
          <w:rFonts w:ascii="Verdana" w:hAnsi="Verdana"/>
          <w:sz w:val="20"/>
        </w:rPr>
        <w:lastRenderedPageBreak/>
        <w:t xml:space="preserve">ADCT.II. QUESTÃO EM DISCUSSÃO- Há duas questões em discussão: (i) definir se a lei municipal ofende a iniciativa privativa do Poder Executivo e o princípio da separação de poderes ao estabelecer obrigações ao ente público e (ii) estabelecer se há inconstitucionalidade formal pela ausência de estimativa de impacto econômico-financeiro.III. RAZÕES DE DECIDIR- O Supremo Tribunal Federal (STF), no julgamento do ARE 878.911 (tema 917 da repercussão geral), </w:t>
      </w:r>
      <w:r w:rsidRPr="002E3CEE">
        <w:rPr>
          <w:rStyle w:val="nfaseforte"/>
          <w:rFonts w:ascii="Verdana" w:hAnsi="Verdana"/>
          <w:sz w:val="20"/>
          <w:u w:val="single"/>
        </w:rPr>
        <w:t>estabelece que o Legislativo não pode interferir nas atividades executivas, principalmente no que tange ao modo de execução de políticas públicas</w:t>
      </w:r>
      <w:r w:rsidRPr="002E3CEE">
        <w:rPr>
          <w:rStyle w:val="nfaseforte"/>
          <w:rFonts w:ascii="Verdana" w:hAnsi="Verdana"/>
          <w:sz w:val="20"/>
        </w:rPr>
        <w:t>.- A norma impugnada, ao definir a forma e a periodicidade da divulgação de listas de espera e impor obrigações específicas à Secretaria de Saúde, configura interferência indevida no Poder Executivo.- O Órgão Especial do TJMG, em casos semelhantes, tem afastado a inconstitucionalidade formal de leis que visam assegurar a publicidade de atos administrativos, quando estas não interferem diretamente nas atribuições do Executivo. Contudo, reconhece a inconstitucionalidade material quando a norma ultrapassa seu caráter autorizativo e impõe determinações operacionais ao Executivo.- O art. 1º, §§2º e 3º, da Lei nº 3.904/2022, ao especificar que as listas devem ser divulgadas mensalmente pela Secretaria Municipal de Saúde no sítio oficial da Prefeitura e enviadas a todos os vereadores por meio de ofício impresso, viola o princípio da separação de poderes ao impor encargos operacionais detalhados, configurando invasão de competência do Executivo.</w:t>
      </w:r>
      <w:r w:rsidRPr="002E3CEE">
        <w:rPr>
          <w:rStyle w:val="nfaseforte"/>
          <w:rFonts w:ascii="Verdana" w:hAnsi="Verdana"/>
          <w:sz w:val="20"/>
        </w:rPr>
        <w:br/>
        <w:t xml:space="preserve">- Não há inconstitucionalidade formal pela ausência de estimativa de impacto econômico-financeiro, pois o aumento de despesas decorrente da aplicação da norma, de forma geral, não é suficiente para caracterizar a inconstitucionalidade, conforme jurisprudência do STF. </w:t>
      </w:r>
      <w:r w:rsidRPr="002E3CEE">
        <w:rPr>
          <w:rStyle w:val="nfaseforte"/>
          <w:rFonts w:ascii="Verdana" w:hAnsi="Verdana"/>
          <w:sz w:val="20"/>
        </w:rPr>
        <w:lastRenderedPageBreak/>
        <w:t xml:space="preserve">IV. DISPOSITIVO E TESE- Pedido parcialmente procedente. Tese de julgamento:- Leis municipais que assegurem a publicidade de listas de espera de pacientes do SUS não violam a separação de poderes, </w:t>
      </w:r>
      <w:r w:rsidRPr="002E3CEE">
        <w:rPr>
          <w:rStyle w:val="nfaseforte"/>
          <w:rFonts w:ascii="Verdana" w:hAnsi="Verdana"/>
          <w:sz w:val="20"/>
          <w:u w:val="single"/>
        </w:rPr>
        <w:t>desde que não interfiram no modo de execução das atividades administrativas.- A imposição de obrigações operacionais detalhadas ao Poder Executivo, como forma, periodicidade e destinatários da divulgação de dados, configura inconstitucionalidade por invasão de competência</w:t>
      </w:r>
      <w:r w:rsidRPr="002E3CEE">
        <w:rPr>
          <w:rStyle w:val="nfaseforte"/>
          <w:rFonts w:ascii="Verdana" w:hAnsi="Verdana"/>
          <w:sz w:val="20"/>
        </w:rPr>
        <w:t xml:space="preserve">.  (TJMG - Ação Direta Inconst  1.0000.24.352439-4/000, Relator(a): Des.(a) Renato Dresch , ÓRGÃO ESPECIAL, julgamento em 20/12/2024, publicação da súmula em 08/01/2025). Grifos nossos. </w:t>
      </w:r>
    </w:p>
    <w:p w:rsidR="002E3CEE" w:rsidRPr="002E3CEE" w:rsidRDefault="002E3CEE" w:rsidP="00D45EF5">
      <w:pPr>
        <w:pStyle w:val="Corpodetexto"/>
        <w:suppressAutoHyphens/>
        <w:spacing w:after="142" w:line="360" w:lineRule="auto"/>
        <w:ind w:left="2268"/>
        <w:jc w:val="both"/>
        <w:rPr>
          <w:rStyle w:val="nfaseforte"/>
          <w:rFonts w:ascii="Verdana" w:hAnsi="Verdana"/>
          <w:sz w:val="2"/>
        </w:rPr>
      </w:pPr>
    </w:p>
    <w:p w:rsidR="00D45EF5" w:rsidRPr="00EA7F06" w:rsidRDefault="00D45EF5" w:rsidP="002E3CEE">
      <w:pPr>
        <w:pStyle w:val="Corpodetexto"/>
        <w:suppressAutoHyphens/>
        <w:spacing w:after="120" w:line="360" w:lineRule="auto"/>
        <w:jc w:val="both"/>
        <w:rPr>
          <w:rStyle w:val="nfaseforte"/>
          <w:rFonts w:ascii="Verdana" w:hAnsi="Verdana"/>
          <w:b w:val="0"/>
        </w:rPr>
      </w:pPr>
      <w:r w:rsidRPr="00EA7F06">
        <w:rPr>
          <w:rStyle w:val="nfaseforte"/>
          <w:rFonts w:ascii="Verdana" w:hAnsi="Verdana"/>
          <w:b w:val="0"/>
        </w:rPr>
        <w:tab/>
        <w:t>Em 03 de abril do corrente ano, o Executivo recebeu os vereadores para demonstrar de maneira prática como funcionaria o acesso d</w:t>
      </w:r>
      <w:r w:rsidR="00622DF4" w:rsidRPr="00EA7F06">
        <w:rPr>
          <w:rStyle w:val="nfaseforte"/>
          <w:rFonts w:ascii="Verdana" w:hAnsi="Verdana"/>
          <w:b w:val="0"/>
        </w:rPr>
        <w:t>o u</w:t>
      </w:r>
      <w:r w:rsidRPr="00EA7F06">
        <w:rPr>
          <w:rStyle w:val="nfaseforte"/>
          <w:rFonts w:ascii="Verdana" w:hAnsi="Verdana"/>
          <w:b w:val="0"/>
        </w:rPr>
        <w:t xml:space="preserve">suario ao sistema de divulgação da lista de espera em conformidade com a </w:t>
      </w:r>
      <w:r w:rsidR="009D4C8F" w:rsidRPr="00EA7F06">
        <w:rPr>
          <w:rStyle w:val="nfaseforte"/>
          <w:rFonts w:ascii="Verdana" w:hAnsi="Verdana"/>
          <w:b w:val="0"/>
        </w:rPr>
        <w:t xml:space="preserve">LGDP,  e as decisões do STF. </w:t>
      </w:r>
    </w:p>
    <w:p w:rsidR="00DA59DD" w:rsidRPr="00EA7F06" w:rsidRDefault="00DA59DD" w:rsidP="002E3CEE">
      <w:pPr>
        <w:widowControl/>
        <w:autoSpaceDE/>
        <w:autoSpaceDN/>
        <w:spacing w:after="120" w:line="360" w:lineRule="auto"/>
        <w:rPr>
          <w:rStyle w:val="nfaseforte"/>
          <w:rFonts w:ascii="Verdana" w:hAnsi="Verdana"/>
          <w:b w:val="0"/>
          <w:bCs w:val="0"/>
          <w:sz w:val="24"/>
          <w:szCs w:val="24"/>
          <w:lang w:val="pt-BR" w:eastAsia="pt-BR"/>
        </w:rPr>
      </w:pPr>
      <w:r w:rsidRPr="00EA7F06">
        <w:rPr>
          <w:rStyle w:val="nfaseforte"/>
          <w:rFonts w:ascii="Verdana" w:hAnsi="Verdana"/>
          <w:b w:val="0"/>
        </w:rPr>
        <w:t xml:space="preserve"> </w:t>
      </w:r>
      <w:r w:rsidRPr="00EA7F06">
        <w:rPr>
          <w:rStyle w:val="nfaseforte"/>
          <w:rFonts w:ascii="Verdana" w:hAnsi="Verdana"/>
          <w:b w:val="0"/>
        </w:rPr>
        <w:tab/>
      </w:r>
      <w:r w:rsidRPr="00EA7F06">
        <w:rPr>
          <w:rStyle w:val="nfaseforte"/>
          <w:rFonts w:ascii="Verdana" w:hAnsi="Verdana"/>
          <w:b w:val="0"/>
          <w:sz w:val="24"/>
          <w:szCs w:val="24"/>
        </w:rPr>
        <w:t>Nosso intuito é garantir a transparência com responsabilidade, cumprindo a legislação vigente.</w:t>
      </w:r>
      <w:r w:rsidRPr="00EA7F06">
        <w:rPr>
          <w:rFonts w:ascii="Verdana" w:hAnsi="Verdana"/>
          <w:sz w:val="24"/>
          <w:szCs w:val="24"/>
          <w:lang w:val="pt-BR" w:eastAsia="pt-BR"/>
        </w:rPr>
        <w:t xml:space="preserve"> </w:t>
      </w:r>
    </w:p>
    <w:p w:rsidR="00D45EF5" w:rsidRPr="00EA7F06" w:rsidRDefault="00D45EF5" w:rsidP="002E3CEE">
      <w:pPr>
        <w:pStyle w:val="Corpodetexto"/>
        <w:suppressAutoHyphens/>
        <w:spacing w:after="120" w:line="360" w:lineRule="auto"/>
        <w:jc w:val="both"/>
        <w:rPr>
          <w:rFonts w:ascii="Verdana" w:hAnsi="Verdana"/>
          <w:color w:val="212125"/>
          <w:shd w:val="clear" w:color="auto" w:fill="FFFFFF"/>
        </w:rPr>
      </w:pPr>
      <w:r w:rsidRPr="00EA7F06">
        <w:rPr>
          <w:rFonts w:ascii="Verdana" w:hAnsi="Verdana"/>
          <w:color w:val="212125"/>
          <w:shd w:val="clear" w:color="auto" w:fill="FFFFFF"/>
        </w:rPr>
        <w:t xml:space="preserve"> </w:t>
      </w:r>
      <w:r w:rsidRPr="00EA7F06">
        <w:rPr>
          <w:rFonts w:ascii="Verdana" w:hAnsi="Verdana"/>
          <w:color w:val="212125"/>
          <w:shd w:val="clear" w:color="auto" w:fill="FFFFFF"/>
        </w:rPr>
        <w:tab/>
        <w:t>Por todo o exposto, contamos com a colaboração e o entendimento dos nobres Vereadores para atualizarmos a legislação existente em nosso Município.</w:t>
      </w:r>
    </w:p>
    <w:p w:rsidR="00D45EF5" w:rsidRPr="00EA7F06" w:rsidRDefault="00D45EF5" w:rsidP="002E3CEE">
      <w:pPr>
        <w:pStyle w:val="Recuodecorpodetexto21"/>
        <w:spacing w:after="120" w:line="360" w:lineRule="auto"/>
        <w:ind w:firstLine="0"/>
        <w:rPr>
          <w:rFonts w:ascii="Verdana" w:hAnsi="Verdana"/>
          <w:sz w:val="24"/>
          <w:szCs w:val="24"/>
        </w:rPr>
      </w:pPr>
      <w:r w:rsidRPr="00EA7F06">
        <w:rPr>
          <w:rFonts w:ascii="Verdana" w:hAnsi="Verdana"/>
          <w:sz w:val="24"/>
          <w:szCs w:val="24"/>
        </w:rPr>
        <w:t xml:space="preserve"> </w:t>
      </w:r>
      <w:r w:rsidRPr="00EA7F06">
        <w:rPr>
          <w:rFonts w:ascii="Verdana" w:hAnsi="Verdana"/>
          <w:sz w:val="24"/>
          <w:szCs w:val="24"/>
        </w:rPr>
        <w:tab/>
        <w:t>Na oportunidade, renovo protestos de estima e consideração.</w:t>
      </w:r>
    </w:p>
    <w:p w:rsidR="00D45EF5" w:rsidRPr="00EA7F06" w:rsidRDefault="00D45EF5" w:rsidP="002E3CEE">
      <w:pPr>
        <w:pStyle w:val="Recuodecorpodetexto21"/>
        <w:spacing w:after="120" w:line="360" w:lineRule="auto"/>
        <w:ind w:firstLine="1134"/>
        <w:rPr>
          <w:rFonts w:ascii="Verdana" w:hAnsi="Verdana"/>
          <w:sz w:val="24"/>
          <w:szCs w:val="24"/>
        </w:rPr>
      </w:pPr>
      <w:r w:rsidRPr="00EA7F06">
        <w:rPr>
          <w:rFonts w:ascii="Verdana" w:hAnsi="Verdana"/>
          <w:sz w:val="24"/>
          <w:szCs w:val="24"/>
        </w:rPr>
        <w:t>Cordialmente,</w:t>
      </w:r>
    </w:p>
    <w:p w:rsidR="00D45EF5" w:rsidRPr="00EA7F06" w:rsidRDefault="00D45EF5" w:rsidP="002E3CEE">
      <w:pPr>
        <w:tabs>
          <w:tab w:val="left" w:pos="0"/>
        </w:tabs>
        <w:spacing w:after="120" w:line="360" w:lineRule="auto"/>
        <w:jc w:val="center"/>
        <w:rPr>
          <w:rFonts w:ascii="Verdana" w:hAnsi="Verdana"/>
          <w:color w:val="FF0000"/>
          <w:sz w:val="24"/>
          <w:szCs w:val="24"/>
        </w:rPr>
      </w:pPr>
      <w:r w:rsidRPr="00EA7F06">
        <w:rPr>
          <w:rFonts w:ascii="Verdana" w:hAnsi="Verdana"/>
          <w:sz w:val="24"/>
          <w:szCs w:val="24"/>
        </w:rPr>
        <w:t xml:space="preserve">Carmo do Cajuru, </w:t>
      </w:r>
      <w:r w:rsidR="009D4C8F" w:rsidRPr="00EA7F06">
        <w:rPr>
          <w:rFonts w:ascii="Verdana" w:hAnsi="Verdana"/>
          <w:sz w:val="24"/>
          <w:szCs w:val="24"/>
        </w:rPr>
        <w:t>04</w:t>
      </w:r>
      <w:r w:rsidRPr="00EA7F06">
        <w:rPr>
          <w:rFonts w:ascii="Verdana" w:hAnsi="Verdana"/>
          <w:sz w:val="24"/>
          <w:szCs w:val="24"/>
        </w:rPr>
        <w:t xml:space="preserve"> de</w:t>
      </w:r>
      <w:r w:rsidR="009D4C8F" w:rsidRPr="00EA7F06">
        <w:rPr>
          <w:rFonts w:ascii="Verdana" w:hAnsi="Verdana"/>
          <w:sz w:val="24"/>
          <w:szCs w:val="24"/>
        </w:rPr>
        <w:t xml:space="preserve"> abril </w:t>
      </w:r>
      <w:r w:rsidRPr="00EA7F06">
        <w:rPr>
          <w:rFonts w:ascii="Verdana" w:hAnsi="Verdana"/>
          <w:sz w:val="24"/>
          <w:szCs w:val="24"/>
        </w:rPr>
        <w:t xml:space="preserve"> 2025.</w:t>
      </w:r>
    </w:p>
    <w:p w:rsidR="00D45EF5" w:rsidRDefault="00D45EF5" w:rsidP="00D45EF5">
      <w:pPr>
        <w:rPr>
          <w:rFonts w:ascii="Verdana" w:hAnsi="Verdana"/>
          <w:b/>
          <w:sz w:val="24"/>
          <w:szCs w:val="24"/>
          <w:lang w:eastAsia="pt-BR"/>
        </w:rPr>
      </w:pPr>
    </w:p>
    <w:p w:rsidR="002E3CEE" w:rsidRDefault="002E3CEE" w:rsidP="00D45EF5">
      <w:pPr>
        <w:rPr>
          <w:rFonts w:ascii="Verdana" w:hAnsi="Verdana"/>
          <w:b/>
          <w:sz w:val="24"/>
          <w:szCs w:val="24"/>
          <w:lang w:eastAsia="pt-BR"/>
        </w:rPr>
      </w:pPr>
    </w:p>
    <w:p w:rsidR="003704F0" w:rsidRPr="003704F0" w:rsidRDefault="003704F0" w:rsidP="00D45EF5">
      <w:pPr>
        <w:rPr>
          <w:rFonts w:ascii="Verdana" w:hAnsi="Verdana"/>
          <w:b/>
          <w:sz w:val="8"/>
          <w:szCs w:val="24"/>
          <w:lang w:eastAsia="pt-BR"/>
        </w:rPr>
      </w:pPr>
    </w:p>
    <w:p w:rsidR="00D45EF5" w:rsidRPr="00EA7F06" w:rsidRDefault="00D45EF5" w:rsidP="00D45EF5">
      <w:pPr>
        <w:jc w:val="center"/>
        <w:rPr>
          <w:rFonts w:ascii="Verdana" w:hAnsi="Verdana"/>
          <w:b/>
          <w:sz w:val="24"/>
          <w:szCs w:val="24"/>
          <w:lang w:eastAsia="pt-BR"/>
        </w:rPr>
      </w:pPr>
      <w:r w:rsidRPr="00EA7F06">
        <w:rPr>
          <w:rFonts w:ascii="Verdana" w:hAnsi="Verdana"/>
          <w:b/>
          <w:sz w:val="24"/>
          <w:szCs w:val="24"/>
          <w:lang w:eastAsia="pt-BR"/>
        </w:rPr>
        <w:t>Vinicius Alves Camargos</w:t>
      </w:r>
    </w:p>
    <w:p w:rsidR="00822D09" w:rsidRPr="002E3CEE" w:rsidRDefault="00D45EF5" w:rsidP="002E3CEE">
      <w:pPr>
        <w:tabs>
          <w:tab w:val="center" w:pos="4252"/>
        </w:tabs>
        <w:jc w:val="center"/>
        <w:rPr>
          <w:rFonts w:ascii="Verdana" w:hAnsi="Verdana"/>
          <w:b/>
          <w:sz w:val="24"/>
          <w:szCs w:val="24"/>
          <w:lang w:eastAsia="pt-BR"/>
        </w:rPr>
      </w:pPr>
      <w:r w:rsidRPr="00EA7F06">
        <w:rPr>
          <w:rFonts w:ascii="Verdana" w:hAnsi="Verdana"/>
          <w:b/>
          <w:sz w:val="24"/>
          <w:szCs w:val="24"/>
          <w:lang w:eastAsia="pt-BR"/>
        </w:rPr>
        <w:t>Prefeito de Carmo do Cajuru</w:t>
      </w:r>
    </w:p>
    <w:sectPr w:rsidR="00822D09" w:rsidRPr="002E3CEE" w:rsidSect="00EA7F06">
      <w:headerReference w:type="default" r:id="rId8"/>
      <w:pgSz w:w="11910" w:h="16840"/>
      <w:pgMar w:top="2835" w:right="1418" w:bottom="1701" w:left="1701" w:header="397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4C" w:rsidRDefault="004E464C" w:rsidP="00622DF4">
      <w:r>
        <w:separator/>
      </w:r>
    </w:p>
  </w:endnote>
  <w:endnote w:type="continuationSeparator" w:id="1">
    <w:p w:rsidR="004E464C" w:rsidRDefault="004E464C" w:rsidP="0062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4C" w:rsidRDefault="004E464C" w:rsidP="00622DF4">
      <w:r>
        <w:separator/>
      </w:r>
    </w:p>
  </w:footnote>
  <w:footnote w:type="continuationSeparator" w:id="1">
    <w:p w:rsidR="004E464C" w:rsidRDefault="004E464C" w:rsidP="00622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4C" w:rsidRDefault="004E464C">
    <w:pPr>
      <w:pStyle w:val="Cabealho"/>
    </w:pPr>
  </w:p>
  <w:p w:rsidR="004E464C" w:rsidRDefault="004E464C">
    <w:pPr>
      <w:pStyle w:val="Cabealho"/>
    </w:pPr>
  </w:p>
  <w:p w:rsidR="004E464C" w:rsidRDefault="004E464C">
    <w:pPr>
      <w:pStyle w:val="Cabealho"/>
    </w:pPr>
  </w:p>
  <w:p w:rsidR="004E464C" w:rsidRDefault="004E464C">
    <w:pPr>
      <w:pStyle w:val="Cabealho"/>
    </w:pPr>
  </w:p>
  <w:p w:rsidR="004E464C" w:rsidRDefault="004E46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52166"/>
    <w:multiLevelType w:val="hybridMultilevel"/>
    <w:tmpl w:val="F4C6F84A"/>
    <w:lvl w:ilvl="0" w:tplc="B3AE9638">
      <w:start w:val="1"/>
      <w:numFmt w:val="upperRoman"/>
      <w:lvlText w:val="%1"/>
      <w:lvlJc w:val="left"/>
      <w:pPr>
        <w:ind w:left="22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F38FE40">
      <w:numFmt w:val="bullet"/>
      <w:lvlText w:val="•"/>
      <w:lvlJc w:val="left"/>
      <w:pPr>
        <w:ind w:left="3016" w:hanging="140"/>
      </w:pPr>
      <w:rPr>
        <w:rFonts w:hint="default"/>
        <w:lang w:val="pt-PT" w:eastAsia="en-US" w:bidi="ar-SA"/>
      </w:rPr>
    </w:lvl>
    <w:lvl w:ilvl="2" w:tplc="64CA27AE">
      <w:numFmt w:val="bullet"/>
      <w:lvlText w:val="•"/>
      <w:lvlJc w:val="left"/>
      <w:pPr>
        <w:ind w:left="3752" w:hanging="140"/>
      </w:pPr>
      <w:rPr>
        <w:rFonts w:hint="default"/>
        <w:lang w:val="pt-PT" w:eastAsia="en-US" w:bidi="ar-SA"/>
      </w:rPr>
    </w:lvl>
    <w:lvl w:ilvl="3" w:tplc="BF6E6E32">
      <w:numFmt w:val="bullet"/>
      <w:lvlText w:val="•"/>
      <w:lvlJc w:val="left"/>
      <w:pPr>
        <w:ind w:left="4488" w:hanging="140"/>
      </w:pPr>
      <w:rPr>
        <w:rFonts w:hint="default"/>
        <w:lang w:val="pt-PT" w:eastAsia="en-US" w:bidi="ar-SA"/>
      </w:rPr>
    </w:lvl>
    <w:lvl w:ilvl="4" w:tplc="E6B2C6E6">
      <w:numFmt w:val="bullet"/>
      <w:lvlText w:val="•"/>
      <w:lvlJc w:val="left"/>
      <w:pPr>
        <w:ind w:left="5224" w:hanging="140"/>
      </w:pPr>
      <w:rPr>
        <w:rFonts w:hint="default"/>
        <w:lang w:val="pt-PT" w:eastAsia="en-US" w:bidi="ar-SA"/>
      </w:rPr>
    </w:lvl>
    <w:lvl w:ilvl="5" w:tplc="0CEC13A6">
      <w:numFmt w:val="bullet"/>
      <w:lvlText w:val="•"/>
      <w:lvlJc w:val="left"/>
      <w:pPr>
        <w:ind w:left="5960" w:hanging="140"/>
      </w:pPr>
      <w:rPr>
        <w:rFonts w:hint="default"/>
        <w:lang w:val="pt-PT" w:eastAsia="en-US" w:bidi="ar-SA"/>
      </w:rPr>
    </w:lvl>
    <w:lvl w:ilvl="6" w:tplc="16809920">
      <w:numFmt w:val="bullet"/>
      <w:lvlText w:val="•"/>
      <w:lvlJc w:val="left"/>
      <w:pPr>
        <w:ind w:left="6696" w:hanging="140"/>
      </w:pPr>
      <w:rPr>
        <w:rFonts w:hint="default"/>
        <w:lang w:val="pt-PT" w:eastAsia="en-US" w:bidi="ar-SA"/>
      </w:rPr>
    </w:lvl>
    <w:lvl w:ilvl="7" w:tplc="F5CC1FBC">
      <w:numFmt w:val="bullet"/>
      <w:lvlText w:val="•"/>
      <w:lvlJc w:val="left"/>
      <w:pPr>
        <w:ind w:left="7432" w:hanging="140"/>
      </w:pPr>
      <w:rPr>
        <w:rFonts w:hint="default"/>
        <w:lang w:val="pt-PT" w:eastAsia="en-US" w:bidi="ar-SA"/>
      </w:rPr>
    </w:lvl>
    <w:lvl w:ilvl="8" w:tplc="CE02C646">
      <w:numFmt w:val="bullet"/>
      <w:lvlText w:val="•"/>
      <w:lvlJc w:val="left"/>
      <w:pPr>
        <w:ind w:left="8168" w:hanging="1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2D09"/>
    <w:rsid w:val="0000453E"/>
    <w:rsid w:val="002E3CEE"/>
    <w:rsid w:val="003704F0"/>
    <w:rsid w:val="0049055C"/>
    <w:rsid w:val="004B114B"/>
    <w:rsid w:val="004E08C6"/>
    <w:rsid w:val="004E464C"/>
    <w:rsid w:val="00586FCD"/>
    <w:rsid w:val="00622DF4"/>
    <w:rsid w:val="00716DFA"/>
    <w:rsid w:val="007B70E2"/>
    <w:rsid w:val="00822D09"/>
    <w:rsid w:val="00873396"/>
    <w:rsid w:val="009D4C8F"/>
    <w:rsid w:val="00A70D6D"/>
    <w:rsid w:val="00D45EF5"/>
    <w:rsid w:val="00DA4CC4"/>
    <w:rsid w:val="00DA59DD"/>
    <w:rsid w:val="00E73B1F"/>
    <w:rsid w:val="00EA7F06"/>
    <w:rsid w:val="00EF3DB6"/>
    <w:rsid w:val="00F620C5"/>
    <w:rsid w:val="00FB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D09"/>
    <w:rPr>
      <w:rFonts w:ascii="Times New Roman" w:eastAsia="Times New Roman" w:hAnsi="Times New Roman" w:cs="Times New Roman"/>
      <w:lang w:val="pt-PT"/>
    </w:rPr>
  </w:style>
  <w:style w:type="paragraph" w:styleId="Ttulo7">
    <w:name w:val="heading 7"/>
    <w:basedOn w:val="Normal"/>
    <w:next w:val="Normal"/>
    <w:link w:val="Ttulo7Char"/>
    <w:qFormat/>
    <w:rsid w:val="00873396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autoSpaceDE/>
      <w:autoSpaceDN/>
      <w:spacing w:line="360" w:lineRule="auto"/>
      <w:jc w:val="center"/>
      <w:outlineLvl w:val="6"/>
    </w:pPr>
    <w:rPr>
      <w:rFonts w:ascii="Verdana" w:hAnsi="Verdana"/>
      <w:b/>
      <w:sz w:val="4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D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22D09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22D09"/>
    <w:pPr>
      <w:ind w:left="2" w:firstLine="2128"/>
      <w:jc w:val="both"/>
    </w:pPr>
  </w:style>
  <w:style w:type="paragraph" w:customStyle="1" w:styleId="TableParagraph">
    <w:name w:val="Table Paragraph"/>
    <w:basedOn w:val="Normal"/>
    <w:uiPriority w:val="1"/>
    <w:qFormat/>
    <w:rsid w:val="00822D09"/>
  </w:style>
  <w:style w:type="character" w:customStyle="1" w:styleId="Ttulo7Char">
    <w:name w:val="Título 7 Char"/>
    <w:basedOn w:val="Fontepargpadro"/>
    <w:link w:val="Ttulo7"/>
    <w:rsid w:val="00873396"/>
    <w:rPr>
      <w:rFonts w:ascii="Verdana" w:eastAsia="Times New Roman" w:hAnsi="Verdana" w:cs="Times New Roman"/>
      <w:b/>
      <w:sz w:val="40"/>
      <w:szCs w:val="20"/>
      <w:shd w:val="clear" w:color="auto" w:fill="E6E6E6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45E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45EF5"/>
    <w:rPr>
      <w:rFonts w:ascii="Times New Roman" w:eastAsia="Times New Roman" w:hAnsi="Times New Roman" w:cs="Times New Roman"/>
      <w:lang w:val="pt-PT"/>
    </w:rPr>
  </w:style>
  <w:style w:type="paragraph" w:customStyle="1" w:styleId="Recuodecorpodetexto21">
    <w:name w:val="Recuo de corpo de texto 21"/>
    <w:basedOn w:val="Normal"/>
    <w:rsid w:val="00D45EF5"/>
    <w:pPr>
      <w:widowControl/>
      <w:suppressAutoHyphens/>
      <w:autoSpaceDE/>
      <w:autoSpaceDN/>
      <w:ind w:firstLine="2835"/>
      <w:jc w:val="both"/>
    </w:pPr>
    <w:rPr>
      <w:rFonts w:ascii="Arial" w:hAnsi="Arial"/>
      <w:szCs w:val="20"/>
      <w:lang w:val="pt-BR" w:eastAsia="ar-SA"/>
    </w:rPr>
  </w:style>
  <w:style w:type="character" w:customStyle="1" w:styleId="nfaseforte">
    <w:name w:val="Ênfase forte"/>
    <w:qFormat/>
    <w:rsid w:val="00D45EF5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622D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2D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22D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22DF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22D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ibunademinas.com.br/noticias/minas/02-04-2025/vivo-cp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1345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</dc:creator>
  <cp:lastModifiedBy>Juridico17756</cp:lastModifiedBy>
  <cp:revision>7</cp:revision>
  <cp:lastPrinted>2025-04-04T16:21:00Z</cp:lastPrinted>
  <dcterms:created xsi:type="dcterms:W3CDTF">2025-04-04T12:51:00Z</dcterms:created>
  <dcterms:modified xsi:type="dcterms:W3CDTF">2025-04-04T16:22:00Z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2023-05-19T00:00:00Z</vt:filetime>
  </property>
</Properties>
</file>