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907E6" w:rsidR="001907E6" w:rsidP="001907E6" w:rsidRDefault="00331DC5" w14:paraId="470E5777" w14:textId="05BD01EC">
      <w:pPr>
        <w:pStyle w:val="Ttulo"/>
        <w:pBdr>
          <w:right w:val="single" w:color="auto" w:sz="4" w:space="0"/>
        </w:pBdr>
        <w:spacing w:line="240" w:lineRule="auto"/>
        <w:rPr>
          <w:rFonts w:cs="Times New Roman"/>
          <w:sz w:val="36"/>
          <w:szCs w:val="36"/>
        </w:rPr>
      </w:pPr>
      <w:r>
        <w:rPr>
          <w:sz w:val="36"/>
          <w:szCs w:val="36"/>
        </w:rPr>
        <w:t>ANTE</w:t>
      </w:r>
      <w:r w:rsidRPr="001907E6" w:rsidR="001907E6">
        <w:rPr>
          <w:sz w:val="36"/>
          <w:szCs w:val="36"/>
        </w:rPr>
        <w:t xml:space="preserve">PROJETO DE LEI N° </w:t>
      </w:r>
      <w:r>
        <w:rPr>
          <w:sz w:val="36"/>
          <w:szCs w:val="36"/>
        </w:rPr>
        <w:t>001</w:t>
      </w:r>
      <w:r w:rsidRPr="001907E6" w:rsid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</w:t>
      </w:r>
      <w:r w:rsidR="00F01126">
        <w:rPr>
          <w:sz w:val="36"/>
          <w:szCs w:val="36"/>
        </w:rPr>
        <w:t>4</w:t>
      </w:r>
    </w:p>
    <w:p w:rsidRPr="001907E6" w:rsidR="001907E6" w:rsidP="001907E6" w:rsidRDefault="001907E6" w14:paraId="0C3E5490" w14:textId="77777777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Pr="00F01126" w:rsidR="00F01126" w:rsidP="0DB1857F" w:rsidRDefault="00F01126" w14:paraId="7A4F09C9" w14:textId="2D51B5F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 w:val="1"/>
          <w:bCs w:val="1"/>
          <w:i w:val="1"/>
          <w:iCs w:val="1"/>
          <w:color w:val="FF0000"/>
          <w:sz w:val="20"/>
          <w:szCs w:val="20"/>
        </w:rPr>
      </w:pPr>
      <w:r w:rsidRPr="0DB1857F" w:rsidR="00F01126">
        <w:rPr>
          <w:rFonts w:ascii="Verdana" w:hAnsi="Verdana" w:cs="Arial"/>
          <w:b w:val="1"/>
          <w:bCs w:val="1"/>
          <w:i w:val="1"/>
          <w:iCs w:val="1"/>
          <w:sz w:val="20"/>
          <w:szCs w:val="20"/>
        </w:rPr>
        <w:t xml:space="preserve">Autoriza o </w:t>
      </w:r>
      <w:r w:rsidRPr="0DB1857F" w:rsidR="0F534A2D">
        <w:rPr>
          <w:rFonts w:ascii="Verdana" w:hAnsi="Verdana" w:cs="Arial"/>
          <w:b w:val="1"/>
          <w:bCs w:val="1"/>
          <w:i w:val="1"/>
          <w:iCs w:val="1"/>
          <w:sz w:val="20"/>
          <w:szCs w:val="20"/>
        </w:rPr>
        <w:t xml:space="preserve">Poder Executivo do </w:t>
      </w:r>
      <w:r w:rsidRPr="0DB1857F" w:rsidR="00F01126">
        <w:rPr>
          <w:rFonts w:ascii="Verdana" w:hAnsi="Verdana" w:cs="Arial"/>
          <w:b w:val="1"/>
          <w:bCs w:val="1"/>
          <w:i w:val="1"/>
          <w:iCs w:val="1"/>
          <w:sz w:val="20"/>
          <w:szCs w:val="20"/>
        </w:rPr>
        <w:t xml:space="preserve">Município de Carmo do Cajuru, Estado de Minas Gerais, a </w:t>
      </w:r>
      <w:r w:rsidRPr="0DB1857F" w:rsidR="3F8C683A">
        <w:rPr>
          <w:rFonts w:ascii="Verdana" w:hAnsi="Verdana" w:cs="Arial"/>
          <w:b w:val="1"/>
          <w:bCs w:val="1"/>
          <w:i w:val="1"/>
          <w:iCs w:val="1"/>
          <w:sz w:val="20"/>
          <w:szCs w:val="20"/>
        </w:rPr>
        <w:t>contratar operação de crédito com o Banco do Brasil S.A. e dá outras pr</w:t>
      </w:r>
      <w:r w:rsidRPr="0DB1857F" w:rsidR="3A08FC23">
        <w:rPr>
          <w:rFonts w:ascii="Verdana" w:hAnsi="Verdana" w:cs="Arial"/>
          <w:b w:val="1"/>
          <w:bCs w:val="1"/>
          <w:i w:val="1"/>
          <w:iCs w:val="1"/>
          <w:sz w:val="20"/>
          <w:szCs w:val="20"/>
        </w:rPr>
        <w:t>ovidências</w:t>
      </w:r>
      <w:r w:rsidRPr="0DB1857F" w:rsidR="00F01126">
        <w:rPr>
          <w:rFonts w:ascii="Verdana" w:hAnsi="Verdana"/>
          <w:b w:val="1"/>
          <w:bCs w:val="1"/>
          <w:i w:val="1"/>
          <w:iCs w:val="1"/>
          <w:sz w:val="20"/>
          <w:szCs w:val="20"/>
        </w:rPr>
        <w:t>.</w:t>
      </w:r>
    </w:p>
    <w:p w:rsidRPr="001907E6" w:rsidR="001907E6" w:rsidP="001907E6" w:rsidRDefault="001907E6" w14:paraId="5B5BE7B3" w14:textId="77777777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Pr="001907E6" w:rsidR="001907E6" w:rsidP="001907E6" w:rsidRDefault="001907E6" w14:paraId="6FD49A56" w14:textId="77777777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1B45A3" w:rsidP="00BD6061" w:rsidRDefault="001907E6" w14:paraId="4A31CD0D" w14:textId="77777777">
      <w:pPr>
        <w:spacing w:line="240" w:lineRule="auto"/>
        <w:jc w:val="both"/>
        <w:rPr>
          <w:rFonts w:ascii="Arial" w:hAnsi="Arial" w:cs="Arial"/>
          <w:sz w:val="20"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="001B45A3">
        <w:rPr>
          <w:rFonts w:ascii="Verdana" w:hAnsi="Verdana" w:cs="Arial"/>
          <w:i/>
        </w:rPr>
        <w:t>O Vereador que o presente assina, no uso de sua funç</w:t>
      </w:r>
      <w:r w:rsidR="00BD6061">
        <w:rPr>
          <w:rFonts w:ascii="Verdana" w:hAnsi="Verdana" w:cs="Arial"/>
          <w:i/>
        </w:rPr>
        <w:t>ão</w:t>
      </w:r>
      <w:r w:rsidR="001B45A3">
        <w:rPr>
          <w:rFonts w:ascii="Verdana" w:hAnsi="Verdana" w:cs="Arial"/>
          <w:i/>
        </w:rPr>
        <w:t xml:space="preserve"> legislativa, consoante lhe faculta a Lei Orgânica e o Regimento Interno, </w:t>
      </w:r>
      <w:r w:rsidR="00BD6061">
        <w:rPr>
          <w:rFonts w:ascii="Verdana" w:hAnsi="Verdana" w:cs="Arial"/>
          <w:i/>
        </w:rPr>
        <w:t xml:space="preserve">e </w:t>
      </w:r>
      <w:r w:rsidR="001B45A3">
        <w:rPr>
          <w:rFonts w:ascii="Verdana" w:hAnsi="Verdana" w:cs="Arial"/>
          <w:i/>
        </w:rPr>
        <w:t>considerando-se a necessidade de regulamentação do tema, apresenta o seguinte Anteprojeto de Lei:</w:t>
      </w:r>
    </w:p>
    <w:p w:rsidR="00BD6061" w:rsidP="0DB1857F" w:rsidRDefault="00BD6061" w14:paraId="1D1D6CBD" w14:textId="6AEB52D6">
      <w:pPr>
        <w:pStyle w:val="Normal"/>
        <w:spacing w:after="12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>
        <w:br/>
      </w:r>
      <w:r w:rsidRPr="0DB1857F" w:rsidR="670753A3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1º</w:t>
      </w:r>
      <w:r w:rsidRPr="0DB1857F" w:rsidR="55CEEF87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.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Fica o Poder Executivo </w:t>
      </w:r>
      <w:r w:rsidRPr="0DB1857F" w:rsidR="59095746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do Município de Carmo do Cajuru, Estado de Minas Gerais, 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autorizado a contratar operação de crédito junto ao BANCO DO BRASIL S.A., até o valor de </w:t>
      </w:r>
      <w:r w:rsidRPr="0DB1857F" w:rsidR="6A33824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R$ 6.000.000,00 (seis milhões de reais)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>, nos termos da Resolução CMN nº 4.995, de 24.03.2022, e suas alterações, destinados a</w:t>
      </w:r>
      <w:r w:rsidRPr="0DB1857F" w:rsidR="2E5FF851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  <w:r w:rsidRPr="0DB1857F" w:rsidR="2E5FF85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construção da nova sede do Poder Legislativo Municipal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>, observada</w:t>
      </w:r>
      <w:r w:rsidRPr="0DB1857F" w:rsidR="670753A3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 xml:space="preserve"> 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>a legislação vigente, em especial as disposições da Lei Complementar n° 101, de 04 de maio de 2000.</w:t>
      </w:r>
    </w:p>
    <w:p w:rsidR="670753A3" w:rsidP="0DB1857F" w:rsidRDefault="670753A3" w14:paraId="08757532" w14:textId="00CEB76A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Parágrafo único.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Os recursos provenientes da operação de crédito autorizada serão obrigatoriamente aplicados na execução dos empreendimentos previstos no </w:t>
      </w:r>
      <w:r w:rsidRPr="0DB1857F" w:rsidR="670753A3">
        <w:rPr>
          <w:rFonts w:ascii="Verdana" w:hAnsi="Verdana" w:eastAsia="Verdana" w:cs="Verdana"/>
          <w:i w:val="1"/>
          <w:iCs w:val="1"/>
          <w:noProof w:val="0"/>
          <w:sz w:val="22"/>
          <w:szCs w:val="22"/>
          <w:lang w:val="pt-BR"/>
        </w:rPr>
        <w:t>caput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deste artigo, sendo vedada a aplicação de tais recursos em despesas correntes, em consonância com o § 1º do art. 35 da Lei Complementar Federal nº 101, de 04 de maio de</w:t>
      </w:r>
    </w:p>
    <w:p w:rsidR="670753A3" w:rsidP="0DB1857F" w:rsidRDefault="670753A3" w14:paraId="7E484FF1" w14:textId="6C6D3F15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>2000.</w:t>
      </w:r>
    </w:p>
    <w:p w:rsidR="670753A3" w:rsidP="0DB1857F" w:rsidRDefault="670753A3" w14:paraId="5CE14C80" w14:textId="3797369E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70753A3" w:rsidP="0DB1857F" w:rsidRDefault="670753A3" w14:paraId="33CCC63E" w14:textId="0CBBD800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2º.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Os recursos provenientes da operação de crédito a que se refere esta Lei deverão ser consignados como receita no Orçamento ou em créditos adicionais, nos termos do inc. II, § 1º, art. 32, da Lei Complementar 101/2000 e 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>arts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>. 42 e 43, inc. IV, da Lei nº 4.320/1964.</w:t>
      </w:r>
    </w:p>
    <w:p w:rsidR="670753A3" w:rsidP="0DB1857F" w:rsidRDefault="670753A3" w14:paraId="208DFCAD" w14:textId="0DFB29B8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70753A3" w:rsidP="0DB1857F" w:rsidRDefault="670753A3" w14:paraId="51BCCCE7" w14:textId="0BAFA190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3º.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Os orçamentos ou os créditos adicionais deverão consignar, anualmente, as dotações necessárias às amortizações e aos pagamentos dos encargos, relativos aos contratos de financiamento a que se refere o art</w:t>
      </w:r>
      <w:r w:rsidRPr="0DB1857F" w:rsidR="1BDE91AD">
        <w:rPr>
          <w:rFonts w:ascii="Verdana" w:hAnsi="Verdana" w:eastAsia="Verdana" w:cs="Verdana"/>
          <w:noProof w:val="0"/>
          <w:sz w:val="22"/>
          <w:szCs w:val="22"/>
          <w:lang w:val="pt-BR"/>
        </w:rPr>
        <w:t>. 1º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>.</w:t>
      </w:r>
    </w:p>
    <w:p w:rsidR="670753A3" w:rsidP="0DB1857F" w:rsidRDefault="670753A3" w14:paraId="274A059D" w14:textId="4490B835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70753A3" w:rsidP="0DB1857F" w:rsidRDefault="670753A3" w14:paraId="31A46C18" w14:textId="31F2C7AF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4º.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Fica o Chefe do Poder Executivo autorizado a abrir créditos adicionais destinados a fazer face aos pagamentos de obrigações decorrentes da operação de crédito ora autorizada.</w:t>
      </w:r>
    </w:p>
    <w:p w:rsidR="670753A3" w:rsidP="0DB1857F" w:rsidRDefault="670753A3" w14:paraId="61F8746F" w14:textId="06E9F8AC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70753A3" w:rsidP="0DB1857F" w:rsidRDefault="670753A3" w14:paraId="3300C218" w14:textId="5275B73D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5º.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Para pagamento do principal, juros, tarifas bancárias e demais encargos financeiros e despesas </w:t>
      </w:r>
      <w:r w:rsidRPr="0DB1857F" w:rsidR="670753A3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 xml:space="preserve">da operação de crédito, fica o Banco do Brasil autorizado a debitar a </w:t>
      </w:r>
      <w:r w:rsidRPr="0DB1857F" w:rsidR="7700AF10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conta corrente</w:t>
      </w:r>
      <w:r w:rsidRPr="0DB1857F" w:rsidR="670753A3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 xml:space="preserve"> de titularidade do município, a ser indicada no contrato, em que são efetuados os créditos dos recursos do município, ou qualquer(</w:t>
      </w:r>
      <w:r w:rsidRPr="0DB1857F" w:rsidR="670753A3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isquer</w:t>
      </w:r>
      <w:r w:rsidRPr="0DB1857F" w:rsidR="670753A3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) outra(s) conta(s), salvo a(s) de destinação específica, mantida em sua agência, os montantes necessários às amortizações e pagamento final da dívida, nos pra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>zos contratualmente estipulados.</w:t>
      </w:r>
    </w:p>
    <w:p w:rsidR="670753A3" w:rsidP="0DB1857F" w:rsidRDefault="670753A3" w14:paraId="1303B105" w14:textId="2DEA7305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670753A3" w:rsidP="0DB1857F" w:rsidRDefault="670753A3" w14:paraId="007C45CD" w14:textId="5C10322E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Parágrafo único</w:t>
      </w:r>
      <w:r w:rsidRPr="0DB1857F" w:rsidR="0457B244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.</w:t>
      </w: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Fica dispensada a emissão da nota de empenho para a realização das despesas a que se refere este artigo, nos termos do §1º, do art. 60, da Lei 4.320, de 17 de março de 1964.</w:t>
      </w:r>
    </w:p>
    <w:p w:rsidR="670753A3" w:rsidP="0DB1857F" w:rsidRDefault="670753A3" w14:paraId="0F6F7FBE" w14:textId="5C57F630">
      <w:pPr>
        <w:spacing w:after="0" w:afterAutospacing="off" w:line="240" w:lineRule="auto"/>
        <w:ind w:left="-20" w:right="-20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DB1857F" w:rsidR="670753A3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F01126" w:rsidP="00F01126" w:rsidRDefault="00511292" w14:paraId="652478A7" w14:textId="1355F80E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DB1857F" w:rsidR="00511292">
        <w:rPr>
          <w:rFonts w:ascii="Verdana" w:hAnsi="Verdana" w:cs="Arial"/>
          <w:b w:val="1"/>
          <w:bCs w:val="1"/>
          <w:sz w:val="22"/>
          <w:szCs w:val="22"/>
        </w:rPr>
        <w:t xml:space="preserve">Art. </w:t>
      </w:r>
      <w:r w:rsidRPr="0DB1857F" w:rsidR="7E537F8F">
        <w:rPr>
          <w:rFonts w:ascii="Verdana" w:hAnsi="Verdana" w:cs="Arial"/>
          <w:b w:val="1"/>
          <w:bCs w:val="1"/>
          <w:sz w:val="22"/>
          <w:szCs w:val="22"/>
        </w:rPr>
        <w:t>6</w:t>
      </w:r>
      <w:r w:rsidRPr="0DB1857F" w:rsidR="00511292">
        <w:rPr>
          <w:rFonts w:ascii="Verdana" w:hAnsi="Verdana" w:cs="Arial"/>
          <w:b w:val="1"/>
          <w:bCs w:val="1"/>
          <w:sz w:val="22"/>
          <w:szCs w:val="22"/>
        </w:rPr>
        <w:t>º.</w:t>
      </w:r>
      <w:r w:rsidRPr="0DB1857F" w:rsidR="00511292">
        <w:rPr>
          <w:rFonts w:ascii="Verdana" w:hAnsi="Verdana" w:cs="Arial"/>
          <w:sz w:val="22"/>
          <w:szCs w:val="22"/>
        </w:rPr>
        <w:t xml:space="preserve"> O empréstimo previsto no art. 1º desta lei deverá ser pago no prazo máximo de 10 (dez)</w:t>
      </w:r>
      <w:r w:rsidRPr="0DB1857F" w:rsidR="00F01126">
        <w:rPr>
          <w:rFonts w:ascii="Verdana" w:hAnsi="Verdana" w:cs="Arial"/>
          <w:sz w:val="22"/>
          <w:szCs w:val="22"/>
        </w:rPr>
        <w:t xml:space="preserve"> </w:t>
      </w:r>
      <w:r w:rsidRPr="0DB1857F" w:rsidR="00511292">
        <w:rPr>
          <w:rFonts w:ascii="Verdana" w:hAnsi="Verdana" w:cs="Arial"/>
          <w:sz w:val="22"/>
          <w:szCs w:val="22"/>
        </w:rPr>
        <w:t>anos, podendo se</w:t>
      </w:r>
      <w:r w:rsidRPr="0DB1857F" w:rsidR="00511292">
        <w:rPr>
          <w:rFonts w:ascii="Verdana" w:hAnsi="Verdana" w:cs="Arial"/>
          <w:sz w:val="22"/>
          <w:szCs w:val="22"/>
        </w:rPr>
        <w:t xml:space="preserve">r em menor prazo, e para seu pagamento a Câmara Municipal se compromete a fazer a devolução </w:t>
      </w:r>
      <w:r w:rsidRPr="0DB1857F" w:rsidR="00033524">
        <w:rPr>
          <w:rFonts w:ascii="Verdana" w:hAnsi="Verdana" w:cs="Arial"/>
          <w:sz w:val="22"/>
          <w:szCs w:val="22"/>
        </w:rPr>
        <w:t xml:space="preserve">ao Poder Executivo </w:t>
      </w:r>
      <w:r w:rsidRPr="0DB1857F" w:rsidR="00511292">
        <w:rPr>
          <w:rFonts w:ascii="Verdana" w:hAnsi="Verdana" w:cs="Arial"/>
          <w:sz w:val="22"/>
          <w:szCs w:val="22"/>
        </w:rPr>
        <w:t xml:space="preserve">do duodécimo, de forma mensal, no valor da prestação, cujos valores e datas serão ajustados em termo específico, após a formalização do empréstimo junto a instituição financeira. </w:t>
      </w:r>
    </w:p>
    <w:p w:rsidR="00511292" w:rsidP="00F01126" w:rsidRDefault="00033524" w14:paraId="54CCE1F3" w14:textId="25E207B5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2005E84A" w:rsidR="00033524">
        <w:rPr>
          <w:rFonts w:ascii="Verdana" w:hAnsi="Verdana" w:cs="Arial"/>
          <w:b w:val="1"/>
          <w:bCs w:val="1"/>
          <w:sz w:val="22"/>
          <w:szCs w:val="22"/>
        </w:rPr>
        <w:t>§ 1º</w:t>
      </w:r>
      <w:r w:rsidRPr="2005E84A" w:rsidR="00511292">
        <w:rPr>
          <w:rFonts w:ascii="Verdana" w:hAnsi="Verdana" w:cs="Arial"/>
          <w:b w:val="1"/>
          <w:bCs w:val="1"/>
          <w:sz w:val="22"/>
          <w:szCs w:val="22"/>
        </w:rPr>
        <w:t>.</w:t>
      </w:r>
      <w:r w:rsidRPr="2005E84A" w:rsidR="00511292">
        <w:rPr>
          <w:rFonts w:ascii="Verdana" w:hAnsi="Verdana" w:cs="Arial"/>
          <w:sz w:val="22"/>
          <w:szCs w:val="22"/>
        </w:rPr>
        <w:t xml:space="preserve"> Para efeitos da devolução do duodécimo previsto no </w:t>
      </w:r>
      <w:r w:rsidRPr="2005E84A" w:rsidR="00511292">
        <w:rPr>
          <w:rFonts w:ascii="Verdana" w:hAnsi="Verdana" w:cs="Arial"/>
          <w:i w:val="1"/>
          <w:iCs w:val="1"/>
          <w:sz w:val="22"/>
          <w:szCs w:val="22"/>
        </w:rPr>
        <w:t>caput</w:t>
      </w:r>
      <w:r w:rsidRPr="2005E84A" w:rsidR="00511292">
        <w:rPr>
          <w:rFonts w:ascii="Verdana" w:hAnsi="Verdana" w:cs="Arial"/>
          <w:sz w:val="22"/>
          <w:szCs w:val="22"/>
        </w:rPr>
        <w:t xml:space="preserve">, fica autorizado a Câmara Municipal fazê-lo até o limite </w:t>
      </w:r>
      <w:r w:rsidRPr="2005E84A" w:rsidR="00F65357">
        <w:rPr>
          <w:rFonts w:ascii="Verdana" w:hAnsi="Verdana" w:cs="Arial"/>
          <w:sz w:val="22"/>
          <w:szCs w:val="22"/>
        </w:rPr>
        <w:t xml:space="preserve">correspondente a </w:t>
      </w:r>
      <w:r w:rsidRPr="2005E84A" w:rsidR="7120CDC4">
        <w:rPr>
          <w:rFonts w:ascii="Verdana" w:hAnsi="Verdana" w:cs="Arial"/>
          <w:sz w:val="22"/>
          <w:szCs w:val="22"/>
        </w:rPr>
        <w:t>4</w:t>
      </w:r>
      <w:r w:rsidRPr="2005E84A" w:rsidR="00F65357">
        <w:rPr>
          <w:rFonts w:ascii="Verdana" w:hAnsi="Verdana" w:cs="Arial"/>
          <w:sz w:val="22"/>
          <w:szCs w:val="22"/>
        </w:rPr>
        <w:t>0% (</w:t>
      </w:r>
      <w:r w:rsidRPr="2005E84A" w:rsidR="2B3ED86D">
        <w:rPr>
          <w:rFonts w:ascii="Verdana" w:hAnsi="Verdana" w:cs="Arial"/>
          <w:sz w:val="22"/>
          <w:szCs w:val="22"/>
        </w:rPr>
        <w:t>quar</w:t>
      </w:r>
      <w:r w:rsidRPr="2005E84A" w:rsidR="00F65357">
        <w:rPr>
          <w:rFonts w:ascii="Verdana" w:hAnsi="Verdana" w:cs="Arial"/>
          <w:sz w:val="22"/>
          <w:szCs w:val="22"/>
        </w:rPr>
        <w:t>enta por cento) do que lhe é repassado mensalmente pelo Poder Executivo.</w:t>
      </w:r>
    </w:p>
    <w:p w:rsidR="00033524" w:rsidP="00F01126" w:rsidRDefault="00033524" w14:paraId="27DD3DB3" w14:textId="08EE2195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033524">
        <w:rPr>
          <w:rFonts w:ascii="Verdana" w:hAnsi="Verdana" w:cs="Arial"/>
          <w:b/>
          <w:bCs/>
          <w:sz w:val="22"/>
          <w:szCs w:val="22"/>
        </w:rPr>
        <w:t>§ 2º.</w:t>
      </w:r>
      <w:r>
        <w:rPr>
          <w:rFonts w:ascii="Verdana" w:hAnsi="Verdana" w:cs="Arial"/>
          <w:sz w:val="22"/>
          <w:szCs w:val="22"/>
        </w:rPr>
        <w:t xml:space="preserve"> O Poder Executivo somente poderá utilizar a devolução de parte do duodécimo que trata este artigo única e exclusivamente para quitação do empréstimo de que trata esta lei, sendo vedada a sua utilização para outras finalidades.</w:t>
      </w:r>
    </w:p>
    <w:p w:rsidR="003A70DF" w:rsidP="00F01126" w:rsidRDefault="003A70DF" w14:paraId="328AF5B2" w14:textId="180079B8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:rsidRPr="00F01126" w:rsidR="003A70DF" w:rsidP="00F01126" w:rsidRDefault="003A70DF" w14:paraId="654A4954" w14:textId="29A7EE3B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DB1857F" w:rsidR="003A70DF">
        <w:rPr>
          <w:rFonts w:ascii="Verdana" w:hAnsi="Verdana" w:cs="Arial"/>
          <w:b w:val="1"/>
          <w:bCs w:val="1"/>
          <w:sz w:val="22"/>
          <w:szCs w:val="22"/>
        </w:rPr>
        <w:t xml:space="preserve">Art. </w:t>
      </w:r>
      <w:r w:rsidRPr="0DB1857F" w:rsidR="7AD7EC96">
        <w:rPr>
          <w:rFonts w:ascii="Verdana" w:hAnsi="Verdana" w:cs="Arial"/>
          <w:b w:val="1"/>
          <w:bCs w:val="1"/>
          <w:sz w:val="22"/>
          <w:szCs w:val="22"/>
        </w:rPr>
        <w:t>7</w:t>
      </w:r>
      <w:r w:rsidRPr="0DB1857F" w:rsidR="003A70DF">
        <w:rPr>
          <w:rFonts w:ascii="Verdana" w:hAnsi="Verdana" w:cs="Arial"/>
          <w:b w:val="1"/>
          <w:bCs w:val="1"/>
          <w:sz w:val="22"/>
          <w:szCs w:val="22"/>
        </w:rPr>
        <w:t>º.</w:t>
      </w:r>
      <w:r w:rsidRPr="0DB1857F" w:rsidR="003A70DF">
        <w:rPr>
          <w:rFonts w:ascii="Verdana" w:hAnsi="Verdana" w:cs="Arial"/>
          <w:sz w:val="22"/>
          <w:szCs w:val="22"/>
        </w:rPr>
        <w:t xml:space="preserve"> A Lei nº 2.985, de 11 de setembro de 2023, fica revogada após a concretização do empréstimo tratado nesta lei.</w:t>
      </w:r>
    </w:p>
    <w:p w:rsidRPr="00F01126" w:rsidR="00F01126" w:rsidP="00F01126" w:rsidRDefault="00F01126" w14:paraId="43358026" w14:textId="77777777">
      <w:pPr>
        <w:pStyle w:val="Standard"/>
        <w:ind w:firstLine="851"/>
        <w:jc w:val="both"/>
        <w:rPr>
          <w:rFonts w:ascii="Verdana" w:hAnsi="Verdana" w:cs="Arial"/>
          <w:sz w:val="22"/>
          <w:szCs w:val="22"/>
        </w:rPr>
      </w:pPr>
    </w:p>
    <w:p w:rsidR="00F01126" w:rsidP="00F01126" w:rsidRDefault="00F01126" w14:paraId="77D455CA" w14:textId="1B0BDE8B">
      <w:pPr>
        <w:pStyle w:val="Standard"/>
        <w:jc w:val="both"/>
        <w:rPr>
          <w:rFonts w:ascii="Verdana" w:hAnsi="Verdana"/>
          <w:sz w:val="22"/>
          <w:szCs w:val="22"/>
        </w:rPr>
      </w:pPr>
      <w:r w:rsidRPr="0DB1857F" w:rsidR="00F01126">
        <w:rPr>
          <w:rFonts w:ascii="Verdana" w:hAnsi="Verdana" w:cs="Arial"/>
          <w:b w:val="1"/>
          <w:bCs w:val="1"/>
          <w:sz w:val="22"/>
          <w:szCs w:val="22"/>
        </w:rPr>
        <w:t xml:space="preserve">Art. </w:t>
      </w:r>
      <w:r w:rsidRPr="0DB1857F" w:rsidR="316C9418">
        <w:rPr>
          <w:rFonts w:ascii="Verdana" w:hAnsi="Verdana" w:cs="Arial"/>
          <w:b w:val="1"/>
          <w:bCs w:val="1"/>
          <w:sz w:val="22"/>
          <w:szCs w:val="22"/>
        </w:rPr>
        <w:t>8</w:t>
      </w:r>
      <w:r w:rsidRPr="0DB1857F" w:rsidR="00F01126">
        <w:rPr>
          <w:rFonts w:ascii="Verdana" w:hAnsi="Verdana" w:cs="Arial"/>
          <w:b w:val="1"/>
          <w:bCs w:val="1"/>
          <w:sz w:val="22"/>
          <w:szCs w:val="22"/>
        </w:rPr>
        <w:t>º.</w:t>
      </w:r>
      <w:r w:rsidRPr="0DB1857F" w:rsidR="00F01126">
        <w:rPr>
          <w:rFonts w:ascii="Verdana" w:hAnsi="Verdana" w:cs="Arial"/>
          <w:sz w:val="22"/>
          <w:szCs w:val="22"/>
        </w:rPr>
        <w:t xml:space="preserve"> Esta Lei entra em vigor na data de sua publicação</w:t>
      </w:r>
      <w:r w:rsidRPr="0DB1857F" w:rsidR="00F01126">
        <w:rPr>
          <w:rFonts w:ascii="Verdana" w:hAnsi="Verdana"/>
          <w:sz w:val="22"/>
          <w:szCs w:val="22"/>
        </w:rPr>
        <w:t>.</w:t>
      </w:r>
    </w:p>
    <w:p w:rsidRPr="00F01126" w:rsidR="00511292" w:rsidP="00F01126" w:rsidRDefault="00511292" w14:paraId="432C72C4" w14:textId="77777777">
      <w:pPr>
        <w:pStyle w:val="Standard"/>
        <w:jc w:val="both"/>
        <w:rPr>
          <w:rFonts w:ascii="Verdana" w:hAnsi="Verdana" w:eastAsia="Times New Roman" w:cs="Times New Roman"/>
          <w:sz w:val="22"/>
          <w:szCs w:val="22"/>
        </w:rPr>
      </w:pPr>
    </w:p>
    <w:p w:rsidRPr="00F01126" w:rsidR="001907E6" w:rsidP="001907E6" w:rsidRDefault="001907E6" w14:paraId="59EF58EA" w14:textId="77777777">
      <w:pPr>
        <w:spacing w:after="0"/>
        <w:ind w:firstLine="708"/>
        <w:jc w:val="both"/>
        <w:rPr>
          <w:rFonts w:ascii="Verdana" w:hAnsi="Verdana"/>
        </w:rPr>
      </w:pPr>
    </w:p>
    <w:p w:rsidRPr="00F01126" w:rsidR="001907E6" w:rsidP="00511292" w:rsidRDefault="001907E6" w14:paraId="4E32E4CB" w14:textId="2042377E">
      <w:pPr>
        <w:spacing w:after="0" w:line="360" w:lineRule="auto"/>
        <w:jc w:val="center"/>
        <w:rPr>
          <w:rFonts w:ascii="Verdana" w:hAnsi="Verdana" w:cs="Verdana"/>
        </w:rPr>
      </w:pPr>
      <w:r w:rsidRPr="0DB1857F" w:rsidR="001907E6">
        <w:rPr>
          <w:rFonts w:ascii="Verdana" w:hAnsi="Verdana"/>
        </w:rPr>
        <w:t>Carmo do Cajuru</w:t>
      </w:r>
      <w:r w:rsidRPr="0DB1857F" w:rsidR="00227911">
        <w:rPr>
          <w:rFonts w:ascii="Verdana" w:hAnsi="Verdana"/>
        </w:rPr>
        <w:t>/MG</w:t>
      </w:r>
      <w:r w:rsidRPr="0DB1857F" w:rsidR="001907E6">
        <w:rPr>
          <w:rFonts w:ascii="Verdana" w:hAnsi="Verdana"/>
        </w:rPr>
        <w:t xml:space="preserve">, </w:t>
      </w:r>
      <w:r w:rsidRPr="0DB1857F" w:rsidR="00511292">
        <w:rPr>
          <w:rFonts w:ascii="Verdana" w:hAnsi="Verdana"/>
        </w:rPr>
        <w:t>1</w:t>
      </w:r>
      <w:r w:rsidRPr="0DB1857F" w:rsidR="22F60338">
        <w:rPr>
          <w:rFonts w:ascii="Verdana" w:hAnsi="Verdana"/>
        </w:rPr>
        <w:t>4</w:t>
      </w:r>
      <w:r w:rsidRPr="0DB1857F" w:rsidR="001907E6">
        <w:rPr>
          <w:rFonts w:ascii="Verdana" w:hAnsi="Verdana"/>
        </w:rPr>
        <w:t xml:space="preserve"> de </w:t>
      </w:r>
      <w:r w:rsidRPr="0DB1857F" w:rsidR="08CBFF80">
        <w:rPr>
          <w:rFonts w:ascii="Verdana" w:hAnsi="Verdana"/>
        </w:rPr>
        <w:t>fevereiro</w:t>
      </w:r>
      <w:r w:rsidRPr="0DB1857F" w:rsidR="00511292">
        <w:rPr>
          <w:rFonts w:ascii="Verdana" w:hAnsi="Verdana"/>
        </w:rPr>
        <w:t xml:space="preserve"> </w:t>
      </w:r>
      <w:r w:rsidRPr="0DB1857F" w:rsidR="001907E6">
        <w:rPr>
          <w:rFonts w:ascii="Verdana" w:hAnsi="Verdana"/>
        </w:rPr>
        <w:t>de 20</w:t>
      </w:r>
      <w:r w:rsidRPr="0DB1857F" w:rsidR="00227911">
        <w:rPr>
          <w:rFonts w:ascii="Verdana" w:hAnsi="Verdana"/>
        </w:rPr>
        <w:t>2</w:t>
      </w:r>
      <w:r w:rsidRPr="0DB1857F" w:rsidR="00511292">
        <w:rPr>
          <w:rFonts w:ascii="Verdana" w:hAnsi="Verdana"/>
        </w:rPr>
        <w:t>4</w:t>
      </w:r>
      <w:r w:rsidRPr="0DB1857F" w:rsidR="001907E6">
        <w:rPr>
          <w:rFonts w:ascii="Verdana" w:hAnsi="Verdana"/>
        </w:rPr>
        <w:t>.</w:t>
      </w:r>
    </w:p>
    <w:p w:rsidRPr="00F01126" w:rsidR="001907E6" w:rsidP="001907E6" w:rsidRDefault="001907E6" w14:paraId="11802D25" w14:textId="77777777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BE750B" w:rsidP="00BE750B" w:rsidRDefault="00BE750B" w14:paraId="0D2B0FC8" w14:textId="77777777">
      <w:pPr>
        <w:pStyle w:val="Corpodetexto2"/>
        <w:tabs>
          <w:tab w:val="left" w:pos="1134"/>
        </w:tabs>
        <w:spacing w:after="0" w:line="240" w:lineRule="auto"/>
        <w:rPr>
          <w:rFonts w:ascii="Verdana" w:hAnsi="Verdana"/>
          <w:b/>
        </w:rPr>
      </w:pPr>
    </w:p>
    <w:sectPr w:rsidR="00BE750B" w:rsidSect="00803E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2A4E" w:rsidP="00724934" w:rsidRDefault="00F32A4E" w14:paraId="4D89D880" w14:textId="77777777">
      <w:r>
        <w:separator/>
      </w:r>
    </w:p>
  </w:endnote>
  <w:endnote w:type="continuationSeparator" w:id="0">
    <w:p w:rsidR="00F32A4E" w:rsidP="00724934" w:rsidRDefault="00F32A4E" w14:paraId="04715D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D6061" w:rsidRDefault="00BD6061" w14:paraId="425F7B62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FEF261" wp14:editId="112AEB6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2A4E" w:rsidP="00724934" w:rsidRDefault="00F32A4E" w14:paraId="369553E1" w14:textId="77777777">
      <w:r>
        <w:separator/>
      </w:r>
    </w:p>
  </w:footnote>
  <w:footnote w:type="continuationSeparator" w:id="0">
    <w:p w:rsidR="00F32A4E" w:rsidP="00724934" w:rsidRDefault="00F32A4E" w14:paraId="6A52805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D6061" w:rsidRDefault="00BD6061" w14:paraId="11AFDB94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37D4149" wp14:editId="173E603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F0B"/>
    <w:rsid w:val="00033524"/>
    <w:rsid w:val="00050364"/>
    <w:rsid w:val="000833BD"/>
    <w:rsid w:val="000A1CDB"/>
    <w:rsid w:val="00187E3E"/>
    <w:rsid w:val="001907E6"/>
    <w:rsid w:val="001A2CB9"/>
    <w:rsid w:val="001B45A3"/>
    <w:rsid w:val="001C07D5"/>
    <w:rsid w:val="00227911"/>
    <w:rsid w:val="00241555"/>
    <w:rsid w:val="00252A4B"/>
    <w:rsid w:val="002E671C"/>
    <w:rsid w:val="00331DC5"/>
    <w:rsid w:val="003A57F9"/>
    <w:rsid w:val="003A70DF"/>
    <w:rsid w:val="00484AEA"/>
    <w:rsid w:val="00485EA0"/>
    <w:rsid w:val="004B56C4"/>
    <w:rsid w:val="004D402F"/>
    <w:rsid w:val="004F42F7"/>
    <w:rsid w:val="004F790F"/>
    <w:rsid w:val="00511292"/>
    <w:rsid w:val="00546881"/>
    <w:rsid w:val="005A47FA"/>
    <w:rsid w:val="005B2BC7"/>
    <w:rsid w:val="006C6C6F"/>
    <w:rsid w:val="006D03A4"/>
    <w:rsid w:val="00724934"/>
    <w:rsid w:val="00751C41"/>
    <w:rsid w:val="00793CE1"/>
    <w:rsid w:val="00803E28"/>
    <w:rsid w:val="00955F00"/>
    <w:rsid w:val="009840AB"/>
    <w:rsid w:val="009A3032"/>
    <w:rsid w:val="00A07C11"/>
    <w:rsid w:val="00A44105"/>
    <w:rsid w:val="00AB2DC5"/>
    <w:rsid w:val="00B00821"/>
    <w:rsid w:val="00B66357"/>
    <w:rsid w:val="00BD6061"/>
    <w:rsid w:val="00BE750B"/>
    <w:rsid w:val="00ED1CA8"/>
    <w:rsid w:val="00EE4421"/>
    <w:rsid w:val="00F01126"/>
    <w:rsid w:val="00F0344C"/>
    <w:rsid w:val="00F32A4E"/>
    <w:rsid w:val="00F3769C"/>
    <w:rsid w:val="00F451D6"/>
    <w:rsid w:val="00F62421"/>
    <w:rsid w:val="00F65357"/>
    <w:rsid w:val="00F67EED"/>
    <w:rsid w:val="0457B244"/>
    <w:rsid w:val="08CBFF80"/>
    <w:rsid w:val="08FD3106"/>
    <w:rsid w:val="0DB1857F"/>
    <w:rsid w:val="0F534A2D"/>
    <w:rsid w:val="10EF1A8E"/>
    <w:rsid w:val="13FDDBB1"/>
    <w:rsid w:val="15C28BB1"/>
    <w:rsid w:val="1BDE91AD"/>
    <w:rsid w:val="2005E84A"/>
    <w:rsid w:val="22A8FC3F"/>
    <w:rsid w:val="22F60338"/>
    <w:rsid w:val="2B3ED86D"/>
    <w:rsid w:val="2C4FDE85"/>
    <w:rsid w:val="2E5FF851"/>
    <w:rsid w:val="316C9418"/>
    <w:rsid w:val="36E49CF1"/>
    <w:rsid w:val="3A08FC23"/>
    <w:rsid w:val="3F8C683A"/>
    <w:rsid w:val="55CEEF87"/>
    <w:rsid w:val="59095746"/>
    <w:rsid w:val="670753A3"/>
    <w:rsid w:val="6A338248"/>
    <w:rsid w:val="6E65905F"/>
    <w:rsid w:val="7120CDC4"/>
    <w:rsid w:val="7700AF10"/>
    <w:rsid w:val="79B6E4AD"/>
    <w:rsid w:val="7AD7EC96"/>
    <w:rsid w:val="7E53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CC8C0"/>
  <w15:docId w15:val="{2DDA60AC-4827-47ED-A124-251BB33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1907E6"/>
    <w:rPr>
      <w:rFonts w:ascii="Calibri" w:hAnsi="Calibri" w:eastAsia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color="auto" w:sz="4" w:space="1"/>
        <w:left w:val="single" w:color="auto" w:sz="4" w:space="0"/>
        <w:bottom w:val="single" w:color="auto" w:sz="4" w:space="1"/>
        <w:right w:val="single" w:color="auto" w:sz="4" w:space="4"/>
      </w:pBdr>
      <w:shd w:val="clear" w:color="auto" w:fill="E0E0E0"/>
      <w:spacing w:after="0" w:line="360" w:lineRule="auto"/>
      <w:jc w:val="center"/>
    </w:pPr>
    <w:rPr>
      <w:rFonts w:ascii="Verdana" w:hAnsi="Verdana" w:eastAsia="Times New Roman" w:cs="Verdana"/>
      <w:b/>
      <w:bCs/>
      <w:sz w:val="52"/>
      <w:szCs w:val="52"/>
      <w:lang w:eastAsia="pt-BR"/>
    </w:rPr>
  </w:style>
  <w:style w:type="character" w:styleId="TtuloChar" w:customStyle="1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nfase">
    <w:name w:val="Emphasis"/>
    <w:basedOn w:val="Fontepargpadro"/>
    <w:uiPriority w:val="20"/>
    <w:qFormat/>
    <w:rsid w:val="00241555"/>
    <w:rPr>
      <w:i/>
      <w:iCs/>
    </w:rPr>
  </w:style>
  <w:style w:type="character" w:styleId="Forte">
    <w:name w:val="Strong"/>
    <w:basedOn w:val="Fontepargpadro"/>
    <w:uiPriority w:val="22"/>
    <w:qFormat/>
    <w:rsid w:val="00331DC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0344C"/>
    <w:pPr>
      <w:spacing w:after="120" w:line="480" w:lineRule="auto"/>
    </w:pPr>
    <w:rPr>
      <w:rFonts w:eastAsiaTheme="minorHAnsi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F0344C"/>
    <w:rPr>
      <w:rFonts w:ascii="Calibri" w:hAnsi="Calibri" w:cs="Times New Roman"/>
      <w:sz w:val="22"/>
    </w:rPr>
  </w:style>
  <w:style w:type="character" w:styleId="label" w:customStyle="1">
    <w:name w:val="label"/>
    <w:basedOn w:val="Fontepargpadro"/>
    <w:rsid w:val="00BD6061"/>
  </w:style>
  <w:style w:type="paragraph" w:styleId="Standard" w:customStyle="1">
    <w:name w:val="Standard"/>
    <w:rsid w:val="00F01126"/>
    <w:pPr>
      <w:widowControl w:val="0"/>
      <w:suppressAutoHyphens/>
      <w:autoSpaceDN w:val="0"/>
      <w:jc w:val="left"/>
      <w:textAlignment w:val="baseline"/>
    </w:pPr>
    <w:rPr>
      <w:rFonts w:ascii="Times New Roman" w:hAnsi="Times New Roman" w:eastAsia="SimSun" w:cs="Mangal"/>
      <w:kern w:val="3"/>
      <w:szCs w:val="24"/>
      <w:lang w:eastAsia="zh-CN" w:bidi="hi-IN"/>
    </w:rPr>
  </w:style>
  <w:style w:type="paragraph" w:styleId="Textbody" w:customStyle="1">
    <w:name w:val="Text body"/>
    <w:basedOn w:val="Standard"/>
    <w:rsid w:val="00F0112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9</revision>
  <lastPrinted>2020-02-04T17:20:00.0000000Z</lastPrinted>
  <dcterms:created xsi:type="dcterms:W3CDTF">2024-01-16T10:41:00.0000000Z</dcterms:created>
  <dcterms:modified xsi:type="dcterms:W3CDTF">2024-02-14T16:32:38.0132767Z</dcterms:modified>
</coreProperties>
</file>